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210C75" w:rsidRDefault="00210C75" w:rsidP="00210C75">
      <w:pPr>
        <w:spacing w:after="0"/>
        <w:jc w:val="center"/>
        <w:rPr>
          <w:rFonts w:asciiTheme="majorHAnsi" w:hAnsiTheme="majorHAnsi"/>
          <w:b/>
        </w:rPr>
      </w:pPr>
      <w:r w:rsidRPr="00210C75">
        <w:rPr>
          <w:rFonts w:asciiTheme="majorHAnsi" w:hAnsiTheme="majorHAnsi"/>
          <w:b/>
        </w:rPr>
        <w:t>“Self Reliance”</w:t>
      </w:r>
    </w:p>
    <w:p w:rsidR="00210C75" w:rsidRDefault="00210C75" w:rsidP="00210C75">
      <w:pPr>
        <w:spacing w:after="0"/>
        <w:jc w:val="center"/>
        <w:rPr>
          <w:rFonts w:asciiTheme="majorHAnsi" w:hAnsiTheme="majorHAnsi"/>
          <w:b/>
        </w:rPr>
      </w:pPr>
      <w:r w:rsidRPr="00210C75">
        <w:rPr>
          <w:rFonts w:asciiTheme="majorHAnsi" w:hAnsiTheme="majorHAnsi"/>
          <w:b/>
        </w:rPr>
        <w:t>Quote Analysis</w:t>
      </w:r>
    </w:p>
    <w:p w:rsidR="00210C75" w:rsidRDefault="00210C75" w:rsidP="00210C75">
      <w:pPr>
        <w:spacing w:after="0"/>
        <w:jc w:val="center"/>
        <w:rPr>
          <w:rFonts w:asciiTheme="majorHAnsi" w:hAnsiTheme="majorHAnsi"/>
          <w:b/>
        </w:rPr>
      </w:pPr>
    </w:p>
    <w:p w:rsidR="007C7B5B" w:rsidRDefault="007C7B5B" w:rsidP="007C7B5B">
      <w:pPr>
        <w:spacing w:after="0"/>
        <w:jc w:val="both"/>
        <w:rPr>
          <w:rFonts w:asciiTheme="majorHAnsi" w:hAnsiTheme="majorHAnsi"/>
        </w:rPr>
      </w:pPr>
      <w:r>
        <w:rPr>
          <w:rFonts w:asciiTheme="majorHAnsi" w:hAnsiTheme="majorHAnsi"/>
        </w:rPr>
        <w:t>For the following passages, explain which of the tenets of Transcendentalism it applies to (you may just list them).  In the second column, then explain the significance of the passage in your own words.</w:t>
      </w:r>
    </w:p>
    <w:p w:rsidR="007C7B5B" w:rsidRDefault="007C7B5B" w:rsidP="007C7B5B">
      <w:pPr>
        <w:spacing w:after="0"/>
        <w:jc w:val="both"/>
        <w:rPr>
          <w:rFonts w:asciiTheme="majorHAnsi" w:hAnsiTheme="majorHAnsi"/>
        </w:rPr>
      </w:pPr>
    </w:p>
    <w:p w:rsidR="007C7B5B" w:rsidRPr="007C7B5B" w:rsidRDefault="007C7B5B" w:rsidP="007C7B5B">
      <w:pPr>
        <w:spacing w:after="0"/>
        <w:jc w:val="both"/>
        <w:rPr>
          <w:rFonts w:asciiTheme="majorHAnsi" w:hAnsiTheme="majorHAnsi"/>
        </w:rPr>
      </w:pPr>
    </w:p>
    <w:tbl>
      <w:tblPr>
        <w:tblStyle w:val="TableGrid"/>
        <w:tblW w:w="0" w:type="auto"/>
        <w:tblLook w:val="04A0"/>
      </w:tblPr>
      <w:tblGrid>
        <w:gridCol w:w="3798"/>
        <w:gridCol w:w="2880"/>
        <w:gridCol w:w="4320"/>
      </w:tblGrid>
      <w:tr w:rsidR="007C7B5B" w:rsidTr="00DE6798">
        <w:tc>
          <w:tcPr>
            <w:tcW w:w="3798" w:type="dxa"/>
            <w:shd w:val="clear" w:color="auto" w:fill="BFBFBF" w:themeFill="background1" w:themeFillShade="BF"/>
          </w:tcPr>
          <w:p w:rsidR="007C7B5B" w:rsidRPr="007C7B5B" w:rsidRDefault="007C7B5B" w:rsidP="007C7B5B">
            <w:pPr>
              <w:jc w:val="center"/>
              <w:rPr>
                <w:rFonts w:asciiTheme="majorHAnsi" w:hAnsiTheme="majorHAnsi"/>
                <w:b/>
              </w:rPr>
            </w:pPr>
            <w:r w:rsidRPr="007C7B5B">
              <w:rPr>
                <w:rFonts w:asciiTheme="majorHAnsi" w:hAnsiTheme="majorHAnsi"/>
                <w:b/>
              </w:rPr>
              <w:t>Quote</w:t>
            </w:r>
          </w:p>
        </w:tc>
        <w:tc>
          <w:tcPr>
            <w:tcW w:w="2880" w:type="dxa"/>
            <w:shd w:val="clear" w:color="auto" w:fill="BFBFBF" w:themeFill="background1" w:themeFillShade="BF"/>
          </w:tcPr>
          <w:p w:rsidR="007C7B5B" w:rsidRPr="007C7B5B" w:rsidRDefault="007C7B5B" w:rsidP="007C7B5B">
            <w:pPr>
              <w:jc w:val="center"/>
              <w:rPr>
                <w:rFonts w:asciiTheme="majorHAnsi" w:hAnsiTheme="majorHAnsi"/>
                <w:b/>
              </w:rPr>
            </w:pPr>
            <w:r w:rsidRPr="007C7B5B">
              <w:rPr>
                <w:rFonts w:asciiTheme="majorHAnsi" w:hAnsiTheme="majorHAnsi"/>
                <w:b/>
              </w:rPr>
              <w:t>Tenet</w:t>
            </w:r>
            <w:r>
              <w:rPr>
                <w:rFonts w:asciiTheme="majorHAnsi" w:hAnsiTheme="majorHAnsi"/>
                <w:b/>
              </w:rPr>
              <w:t>(s)</w:t>
            </w:r>
          </w:p>
        </w:tc>
        <w:tc>
          <w:tcPr>
            <w:tcW w:w="4320" w:type="dxa"/>
            <w:shd w:val="clear" w:color="auto" w:fill="BFBFBF" w:themeFill="background1" w:themeFillShade="BF"/>
          </w:tcPr>
          <w:p w:rsidR="007C7B5B" w:rsidRPr="007C7B5B" w:rsidRDefault="007C7B5B" w:rsidP="007C7B5B">
            <w:pPr>
              <w:jc w:val="center"/>
              <w:rPr>
                <w:rFonts w:asciiTheme="majorHAnsi" w:hAnsiTheme="majorHAnsi"/>
                <w:b/>
              </w:rPr>
            </w:pPr>
            <w:r w:rsidRPr="007C7B5B">
              <w:rPr>
                <w:rFonts w:asciiTheme="majorHAnsi" w:hAnsiTheme="majorHAnsi"/>
                <w:b/>
              </w:rPr>
              <w:t>Analysis</w:t>
            </w:r>
          </w:p>
        </w:tc>
      </w:tr>
      <w:tr w:rsidR="007C7B5B" w:rsidTr="00DE6798">
        <w:tc>
          <w:tcPr>
            <w:tcW w:w="3798" w:type="dxa"/>
          </w:tcPr>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r>
              <w:rPr>
                <w:rFonts w:asciiTheme="majorHAnsi" w:hAnsiTheme="majorHAnsi"/>
              </w:rPr>
              <w:t>There is a time in every man’s education when he arrives at the conviction that envy is ignorance…” (pg 362)</w:t>
            </w: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tc>
        <w:tc>
          <w:tcPr>
            <w:tcW w:w="2880" w:type="dxa"/>
          </w:tcPr>
          <w:p w:rsidR="007C7B5B" w:rsidRDefault="007C7B5B" w:rsidP="00210C75">
            <w:pPr>
              <w:jc w:val="both"/>
              <w:rPr>
                <w:rFonts w:asciiTheme="majorHAnsi" w:hAnsiTheme="majorHAnsi"/>
              </w:rPr>
            </w:pPr>
          </w:p>
        </w:tc>
        <w:tc>
          <w:tcPr>
            <w:tcW w:w="4320" w:type="dxa"/>
          </w:tcPr>
          <w:p w:rsidR="007C7B5B" w:rsidRDefault="007C7B5B" w:rsidP="00210C75">
            <w:pPr>
              <w:jc w:val="both"/>
              <w:rPr>
                <w:rFonts w:asciiTheme="majorHAnsi" w:hAnsiTheme="majorHAnsi"/>
              </w:rPr>
            </w:pPr>
          </w:p>
        </w:tc>
      </w:tr>
      <w:tr w:rsidR="007C7B5B" w:rsidTr="00DE6798">
        <w:tc>
          <w:tcPr>
            <w:tcW w:w="3798" w:type="dxa"/>
          </w:tcPr>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r>
              <w:rPr>
                <w:rFonts w:asciiTheme="majorHAnsi" w:hAnsiTheme="majorHAnsi"/>
              </w:rPr>
              <w:t>“He who would gather immortal palms must not be hindered by the name of goodness, but must explore if it be goodness.  Nothing is at last sacred but the integrity of your own mind.” (pg 362)</w:t>
            </w: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tc>
        <w:tc>
          <w:tcPr>
            <w:tcW w:w="2880" w:type="dxa"/>
          </w:tcPr>
          <w:p w:rsidR="007C7B5B" w:rsidRDefault="007C7B5B" w:rsidP="00210C75">
            <w:pPr>
              <w:jc w:val="both"/>
              <w:rPr>
                <w:rFonts w:asciiTheme="majorHAnsi" w:hAnsiTheme="majorHAnsi"/>
              </w:rPr>
            </w:pPr>
          </w:p>
        </w:tc>
        <w:tc>
          <w:tcPr>
            <w:tcW w:w="4320" w:type="dxa"/>
          </w:tcPr>
          <w:p w:rsidR="007C7B5B" w:rsidRDefault="007C7B5B" w:rsidP="00210C75">
            <w:pPr>
              <w:jc w:val="both"/>
              <w:rPr>
                <w:rFonts w:asciiTheme="majorHAnsi" w:hAnsiTheme="majorHAnsi"/>
              </w:rPr>
            </w:pPr>
          </w:p>
        </w:tc>
      </w:tr>
      <w:tr w:rsidR="007C7B5B" w:rsidTr="00DE6798">
        <w:tc>
          <w:tcPr>
            <w:tcW w:w="3798" w:type="dxa"/>
          </w:tcPr>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r>
              <w:rPr>
                <w:rFonts w:asciiTheme="majorHAnsi" w:hAnsiTheme="majorHAnsi"/>
              </w:rPr>
              <w:t>“What have I to do with the sacredness of traditions, if I love wholly from within?” (pg 364)</w:t>
            </w: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p>
        </w:tc>
        <w:tc>
          <w:tcPr>
            <w:tcW w:w="2880" w:type="dxa"/>
          </w:tcPr>
          <w:p w:rsidR="007C7B5B" w:rsidRDefault="007C7B5B" w:rsidP="00210C75">
            <w:pPr>
              <w:jc w:val="both"/>
              <w:rPr>
                <w:rFonts w:asciiTheme="majorHAnsi" w:hAnsiTheme="majorHAnsi"/>
              </w:rPr>
            </w:pPr>
          </w:p>
        </w:tc>
        <w:tc>
          <w:tcPr>
            <w:tcW w:w="4320" w:type="dxa"/>
          </w:tcPr>
          <w:p w:rsidR="007C7B5B" w:rsidRDefault="007C7B5B" w:rsidP="00210C75">
            <w:pPr>
              <w:jc w:val="both"/>
              <w:rPr>
                <w:rFonts w:asciiTheme="majorHAnsi" w:hAnsiTheme="majorHAnsi"/>
              </w:rPr>
            </w:pPr>
          </w:p>
        </w:tc>
      </w:tr>
      <w:tr w:rsidR="007C7B5B" w:rsidTr="00DE6798">
        <w:tc>
          <w:tcPr>
            <w:tcW w:w="3798" w:type="dxa"/>
          </w:tcPr>
          <w:p w:rsidR="007C7B5B" w:rsidRDefault="007C7B5B" w:rsidP="00210C75">
            <w:pPr>
              <w:jc w:val="both"/>
              <w:rPr>
                <w:rFonts w:asciiTheme="majorHAnsi" w:hAnsiTheme="majorHAnsi"/>
              </w:rPr>
            </w:pPr>
          </w:p>
          <w:p w:rsidR="007C7B5B" w:rsidRDefault="007C7B5B" w:rsidP="00210C75">
            <w:pPr>
              <w:jc w:val="both"/>
              <w:rPr>
                <w:rFonts w:asciiTheme="majorHAnsi" w:hAnsiTheme="majorHAnsi"/>
              </w:rPr>
            </w:pPr>
            <w:r>
              <w:rPr>
                <w:rFonts w:asciiTheme="majorHAnsi" w:hAnsiTheme="majorHAnsi"/>
              </w:rPr>
              <w:t>“It is easy in the world to live after the world’s opinion; it is easy in solitude to live after our own; but the great man is he who in the midst of the crowd keeps with perfect sweetness the independence of solitude.” (364)</w:t>
            </w:r>
          </w:p>
          <w:p w:rsidR="007C7B5B" w:rsidRDefault="007C7B5B" w:rsidP="00210C75">
            <w:pPr>
              <w:jc w:val="both"/>
              <w:rPr>
                <w:rFonts w:asciiTheme="majorHAnsi" w:hAnsiTheme="majorHAnsi"/>
              </w:rPr>
            </w:pPr>
          </w:p>
        </w:tc>
        <w:tc>
          <w:tcPr>
            <w:tcW w:w="2880" w:type="dxa"/>
          </w:tcPr>
          <w:p w:rsidR="007C7B5B" w:rsidRDefault="007C7B5B" w:rsidP="00210C75">
            <w:pPr>
              <w:jc w:val="both"/>
              <w:rPr>
                <w:rFonts w:asciiTheme="majorHAnsi" w:hAnsiTheme="majorHAnsi"/>
              </w:rPr>
            </w:pPr>
          </w:p>
        </w:tc>
        <w:tc>
          <w:tcPr>
            <w:tcW w:w="4320" w:type="dxa"/>
          </w:tcPr>
          <w:p w:rsidR="007C7B5B" w:rsidRDefault="007C7B5B" w:rsidP="00210C75">
            <w:pPr>
              <w:jc w:val="both"/>
              <w:rPr>
                <w:rFonts w:asciiTheme="majorHAnsi" w:hAnsiTheme="majorHAnsi"/>
              </w:rPr>
            </w:pPr>
          </w:p>
        </w:tc>
      </w:tr>
      <w:tr w:rsidR="007C7B5B" w:rsidTr="00DE6798">
        <w:tc>
          <w:tcPr>
            <w:tcW w:w="3798" w:type="dxa"/>
          </w:tcPr>
          <w:p w:rsidR="00DE6798" w:rsidRDefault="00DE6798" w:rsidP="00210C75">
            <w:pPr>
              <w:jc w:val="both"/>
              <w:rPr>
                <w:rFonts w:asciiTheme="majorHAnsi" w:hAnsiTheme="majorHAnsi"/>
              </w:rPr>
            </w:pPr>
          </w:p>
          <w:p w:rsidR="007C7B5B" w:rsidRDefault="00DE6798" w:rsidP="00210C75">
            <w:pPr>
              <w:jc w:val="both"/>
              <w:rPr>
                <w:rFonts w:asciiTheme="majorHAnsi" w:hAnsiTheme="majorHAnsi"/>
              </w:rPr>
            </w:pPr>
            <w:r>
              <w:rPr>
                <w:rFonts w:asciiTheme="majorHAnsi" w:hAnsiTheme="majorHAnsi"/>
              </w:rPr>
              <w:t xml:space="preserve">“With consistency a great soul has simply nothing to do…. Speak what you think now in hard words and tomorrow speak what tomorrow thinks in hard words again, though it </w:t>
            </w:r>
            <w:proofErr w:type="gramStart"/>
            <w:r>
              <w:rPr>
                <w:rFonts w:asciiTheme="majorHAnsi" w:hAnsiTheme="majorHAnsi"/>
              </w:rPr>
              <w:t>contradict</w:t>
            </w:r>
            <w:proofErr w:type="gramEnd"/>
            <w:r>
              <w:rPr>
                <w:rFonts w:asciiTheme="majorHAnsi" w:hAnsiTheme="majorHAnsi"/>
              </w:rPr>
              <w:t xml:space="preserve"> everything you said today…” (pg 364)</w:t>
            </w:r>
          </w:p>
          <w:p w:rsidR="00DE6798" w:rsidRDefault="00DE6798" w:rsidP="00210C75">
            <w:pPr>
              <w:jc w:val="both"/>
              <w:rPr>
                <w:rFonts w:asciiTheme="majorHAnsi" w:hAnsiTheme="majorHAnsi"/>
              </w:rPr>
            </w:pPr>
          </w:p>
        </w:tc>
        <w:tc>
          <w:tcPr>
            <w:tcW w:w="2880" w:type="dxa"/>
          </w:tcPr>
          <w:p w:rsidR="007C7B5B" w:rsidRDefault="007C7B5B" w:rsidP="00210C75">
            <w:pPr>
              <w:jc w:val="both"/>
              <w:rPr>
                <w:rFonts w:asciiTheme="majorHAnsi" w:hAnsiTheme="majorHAnsi"/>
              </w:rPr>
            </w:pPr>
          </w:p>
        </w:tc>
        <w:tc>
          <w:tcPr>
            <w:tcW w:w="4320" w:type="dxa"/>
          </w:tcPr>
          <w:p w:rsidR="007C7B5B" w:rsidRDefault="007C7B5B" w:rsidP="00210C75">
            <w:pPr>
              <w:jc w:val="both"/>
              <w:rPr>
                <w:rFonts w:asciiTheme="majorHAnsi" w:hAnsiTheme="majorHAnsi"/>
              </w:rPr>
            </w:pPr>
          </w:p>
        </w:tc>
      </w:tr>
    </w:tbl>
    <w:p w:rsidR="00210C75" w:rsidRPr="00210C75" w:rsidRDefault="00210C75" w:rsidP="00210C75">
      <w:pPr>
        <w:spacing w:after="0"/>
        <w:jc w:val="both"/>
        <w:rPr>
          <w:rFonts w:asciiTheme="majorHAnsi" w:hAnsiTheme="majorHAnsi"/>
        </w:rPr>
      </w:pPr>
    </w:p>
    <w:sectPr w:rsidR="00210C75" w:rsidRPr="00210C75" w:rsidSect="007C7B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10C75"/>
    <w:rsid w:val="00210C75"/>
    <w:rsid w:val="004D1A0D"/>
    <w:rsid w:val="007123C5"/>
    <w:rsid w:val="007C7B5B"/>
    <w:rsid w:val="008D798D"/>
    <w:rsid w:val="00967F77"/>
    <w:rsid w:val="0099420D"/>
    <w:rsid w:val="00C55AD3"/>
    <w:rsid w:val="00CE017B"/>
    <w:rsid w:val="00DE6798"/>
    <w:rsid w:val="00E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2014-01-31T16:21:00Z</dcterms:created>
  <dcterms:modified xsi:type="dcterms:W3CDTF">2014-01-31T16:46:00Z</dcterms:modified>
</cp:coreProperties>
</file>