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77" w:rsidRPr="000D55EF" w:rsidRDefault="0088707A" w:rsidP="00001043">
      <w:pPr>
        <w:spacing w:after="0"/>
        <w:jc w:val="center"/>
        <w:rPr>
          <w:b/>
          <w:i/>
          <w:sz w:val="20"/>
        </w:rPr>
      </w:pPr>
      <w:r>
        <w:rPr>
          <w:b/>
          <w:i/>
          <w:sz w:val="20"/>
        </w:rPr>
        <w:t>Rosencrantz and Guildenstern are Dead</w:t>
      </w:r>
    </w:p>
    <w:p w:rsidR="00001043" w:rsidRPr="000D55EF" w:rsidRDefault="00001043" w:rsidP="00001043">
      <w:pPr>
        <w:spacing w:after="0"/>
        <w:jc w:val="center"/>
        <w:rPr>
          <w:b/>
          <w:sz w:val="20"/>
        </w:rPr>
      </w:pPr>
      <w:r w:rsidRPr="000D55EF">
        <w:rPr>
          <w:b/>
          <w:sz w:val="20"/>
        </w:rPr>
        <w:t>Character and Symbol Analysis</w:t>
      </w:r>
    </w:p>
    <w:p w:rsidR="00001043" w:rsidRPr="000D55EF" w:rsidRDefault="00001043" w:rsidP="00001043">
      <w:pPr>
        <w:spacing w:after="0"/>
        <w:jc w:val="center"/>
        <w:rPr>
          <w:b/>
          <w:sz w:val="20"/>
        </w:rPr>
      </w:pPr>
    </w:p>
    <w:p w:rsidR="00001043" w:rsidRPr="000D55EF" w:rsidRDefault="00001043" w:rsidP="00001043">
      <w:pPr>
        <w:spacing w:after="0"/>
        <w:jc w:val="both"/>
        <w:rPr>
          <w:sz w:val="20"/>
        </w:rPr>
      </w:pPr>
      <w:r w:rsidRPr="000D55EF">
        <w:rPr>
          <w:sz w:val="20"/>
        </w:rPr>
        <w:t xml:space="preserve">Below is a list of important characters / symbols from the </w:t>
      </w:r>
      <w:r w:rsidR="0088707A">
        <w:rPr>
          <w:sz w:val="20"/>
        </w:rPr>
        <w:t xml:space="preserve">play </w:t>
      </w:r>
      <w:r w:rsidR="0088707A" w:rsidRPr="0088707A">
        <w:rPr>
          <w:i/>
          <w:sz w:val="20"/>
        </w:rPr>
        <w:t>R/G</w:t>
      </w:r>
      <w:r w:rsidR="0088707A">
        <w:rPr>
          <w:sz w:val="20"/>
        </w:rPr>
        <w:t xml:space="preserve"> </w:t>
      </w:r>
      <w:r w:rsidRPr="000D55EF">
        <w:rPr>
          <w:sz w:val="20"/>
        </w:rPr>
        <w:t>(this is the two lists that will be located in the front cover of your copy of the book).  Identify and define the importance of these characters</w:t>
      </w:r>
      <w:r w:rsidR="005A2D83" w:rsidRPr="000D55EF">
        <w:rPr>
          <w:sz w:val="20"/>
        </w:rPr>
        <w:t xml:space="preserve"> and symbols</w:t>
      </w:r>
      <w:r w:rsidRPr="000D55EF">
        <w:rPr>
          <w:sz w:val="20"/>
        </w:rPr>
        <w:t xml:space="preserve"> in context of the larger story.</w:t>
      </w:r>
    </w:p>
    <w:p w:rsidR="005A2D83" w:rsidRPr="000D55EF" w:rsidRDefault="005A2D83" w:rsidP="00001043">
      <w:pPr>
        <w:spacing w:after="0"/>
        <w:jc w:val="both"/>
        <w:rPr>
          <w:sz w:val="20"/>
        </w:rPr>
      </w:pPr>
    </w:p>
    <w:tbl>
      <w:tblPr>
        <w:tblStyle w:val="TableGrid"/>
        <w:tblW w:w="0" w:type="auto"/>
        <w:jc w:val="center"/>
        <w:tblLook w:val="04A0"/>
      </w:tblPr>
      <w:tblGrid>
        <w:gridCol w:w="2898"/>
        <w:gridCol w:w="3240"/>
        <w:gridCol w:w="3438"/>
      </w:tblGrid>
      <w:tr w:rsidR="00F67CEB" w:rsidRPr="000D55EF" w:rsidTr="00BA6F0C">
        <w:trPr>
          <w:jc w:val="center"/>
        </w:trPr>
        <w:tc>
          <w:tcPr>
            <w:tcW w:w="2898" w:type="dxa"/>
          </w:tcPr>
          <w:p w:rsidR="00F67CEB" w:rsidRPr="000D55EF" w:rsidRDefault="00F67CEB" w:rsidP="005A2D83">
            <w:pPr>
              <w:jc w:val="center"/>
              <w:rPr>
                <w:i/>
                <w:sz w:val="20"/>
              </w:rPr>
            </w:pPr>
            <w:r w:rsidRPr="000D55EF">
              <w:rPr>
                <w:i/>
                <w:sz w:val="20"/>
              </w:rPr>
              <w:t>Characters</w:t>
            </w:r>
          </w:p>
        </w:tc>
        <w:tc>
          <w:tcPr>
            <w:tcW w:w="3240" w:type="dxa"/>
          </w:tcPr>
          <w:p w:rsidR="00F67CEB" w:rsidRPr="000D55EF" w:rsidRDefault="00F67CEB" w:rsidP="005A2D83">
            <w:pPr>
              <w:jc w:val="center"/>
              <w:rPr>
                <w:i/>
                <w:sz w:val="20"/>
              </w:rPr>
            </w:pPr>
            <w:r w:rsidRPr="000D55EF">
              <w:rPr>
                <w:i/>
                <w:sz w:val="20"/>
              </w:rPr>
              <w:t>Symbols / “Stuff”</w:t>
            </w:r>
          </w:p>
        </w:tc>
        <w:tc>
          <w:tcPr>
            <w:tcW w:w="3438" w:type="dxa"/>
          </w:tcPr>
          <w:p w:rsidR="00F67CEB" w:rsidRPr="000D55EF" w:rsidRDefault="00F67CEB" w:rsidP="005A2D83">
            <w:pPr>
              <w:jc w:val="center"/>
              <w:rPr>
                <w:i/>
                <w:sz w:val="20"/>
              </w:rPr>
            </w:pPr>
            <w:r w:rsidRPr="000D55EF">
              <w:rPr>
                <w:i/>
                <w:sz w:val="20"/>
              </w:rPr>
              <w:t>Major Themes /</w:t>
            </w:r>
            <w:r w:rsidR="00A64794">
              <w:rPr>
                <w:i/>
                <w:sz w:val="20"/>
              </w:rPr>
              <w:t xml:space="preserve"> </w:t>
            </w:r>
            <w:r w:rsidRPr="000D55EF">
              <w:rPr>
                <w:i/>
                <w:sz w:val="20"/>
              </w:rPr>
              <w:t>Topics</w:t>
            </w:r>
          </w:p>
        </w:tc>
      </w:tr>
      <w:tr w:rsidR="00F67CEB" w:rsidRPr="000D55EF" w:rsidTr="00BA6F0C">
        <w:trPr>
          <w:trHeight w:val="2276"/>
          <w:jc w:val="center"/>
        </w:trPr>
        <w:tc>
          <w:tcPr>
            <w:tcW w:w="2898" w:type="dxa"/>
          </w:tcPr>
          <w:p w:rsidR="00F67CEB" w:rsidRPr="000D55EF" w:rsidRDefault="00F67CEB" w:rsidP="00001043">
            <w:pPr>
              <w:jc w:val="both"/>
              <w:rPr>
                <w:sz w:val="20"/>
              </w:rPr>
            </w:pPr>
          </w:p>
          <w:p w:rsidR="008D1C1C" w:rsidRDefault="0088707A" w:rsidP="00001043">
            <w:pPr>
              <w:jc w:val="both"/>
              <w:rPr>
                <w:sz w:val="20"/>
              </w:rPr>
            </w:pPr>
            <w:r>
              <w:rPr>
                <w:sz w:val="20"/>
              </w:rPr>
              <w:t>Rosencrantz</w:t>
            </w:r>
          </w:p>
          <w:p w:rsidR="0088707A" w:rsidRDefault="0088707A" w:rsidP="00001043">
            <w:pPr>
              <w:jc w:val="both"/>
              <w:rPr>
                <w:sz w:val="20"/>
              </w:rPr>
            </w:pPr>
            <w:r>
              <w:rPr>
                <w:sz w:val="20"/>
              </w:rPr>
              <w:t>Guildenstern</w:t>
            </w:r>
          </w:p>
          <w:p w:rsidR="0088707A" w:rsidRDefault="0088707A" w:rsidP="00001043">
            <w:pPr>
              <w:jc w:val="both"/>
              <w:rPr>
                <w:sz w:val="20"/>
              </w:rPr>
            </w:pPr>
            <w:r>
              <w:rPr>
                <w:sz w:val="20"/>
              </w:rPr>
              <w:t>“The Player”</w:t>
            </w:r>
          </w:p>
          <w:p w:rsidR="0088707A" w:rsidRDefault="0088707A" w:rsidP="00001043">
            <w:pPr>
              <w:jc w:val="both"/>
              <w:rPr>
                <w:sz w:val="20"/>
              </w:rPr>
            </w:pPr>
            <w:r>
              <w:rPr>
                <w:sz w:val="20"/>
              </w:rPr>
              <w:t>Tragedians</w:t>
            </w:r>
          </w:p>
          <w:p w:rsidR="0088707A" w:rsidRPr="000D55EF" w:rsidRDefault="00A64794" w:rsidP="00001043">
            <w:pPr>
              <w:jc w:val="both"/>
              <w:rPr>
                <w:sz w:val="20"/>
              </w:rPr>
            </w:pPr>
            <w:r w:rsidRPr="00A64794">
              <w:rPr>
                <w:i/>
                <w:sz w:val="20"/>
              </w:rPr>
              <w:t>Hamlet</w:t>
            </w:r>
            <w:r>
              <w:rPr>
                <w:sz w:val="20"/>
              </w:rPr>
              <w:t xml:space="preserve"> Characters</w:t>
            </w:r>
          </w:p>
          <w:p w:rsidR="00F67CEB" w:rsidRPr="000D55EF" w:rsidRDefault="00F67CEB" w:rsidP="00001043">
            <w:pPr>
              <w:jc w:val="both"/>
              <w:rPr>
                <w:sz w:val="20"/>
              </w:rPr>
            </w:pPr>
          </w:p>
        </w:tc>
        <w:tc>
          <w:tcPr>
            <w:tcW w:w="3240" w:type="dxa"/>
          </w:tcPr>
          <w:p w:rsidR="00F67CEB" w:rsidRPr="000D55EF" w:rsidRDefault="00F67CEB" w:rsidP="00001043">
            <w:pPr>
              <w:jc w:val="both"/>
              <w:rPr>
                <w:sz w:val="20"/>
              </w:rPr>
            </w:pPr>
          </w:p>
          <w:p w:rsidR="000757AB" w:rsidRDefault="00A64794" w:rsidP="00001043">
            <w:pPr>
              <w:jc w:val="both"/>
              <w:rPr>
                <w:sz w:val="20"/>
              </w:rPr>
            </w:pPr>
            <w:r>
              <w:rPr>
                <w:sz w:val="20"/>
              </w:rPr>
              <w:t>The coins</w:t>
            </w:r>
          </w:p>
          <w:p w:rsidR="00A64794" w:rsidRDefault="00A64794" w:rsidP="00001043">
            <w:pPr>
              <w:jc w:val="both"/>
              <w:rPr>
                <w:sz w:val="20"/>
              </w:rPr>
            </w:pPr>
            <w:r>
              <w:rPr>
                <w:sz w:val="20"/>
              </w:rPr>
              <w:t>The boat</w:t>
            </w:r>
          </w:p>
          <w:p w:rsidR="00A64794" w:rsidRDefault="00A64794" w:rsidP="00001043">
            <w:pPr>
              <w:jc w:val="both"/>
              <w:rPr>
                <w:sz w:val="20"/>
              </w:rPr>
            </w:pPr>
            <w:r>
              <w:rPr>
                <w:sz w:val="20"/>
              </w:rPr>
              <w:t>Meta-play within a meta-play</w:t>
            </w:r>
          </w:p>
          <w:p w:rsidR="00F67CEB" w:rsidRPr="000D55EF" w:rsidRDefault="00F67CEB" w:rsidP="00001043">
            <w:pPr>
              <w:jc w:val="both"/>
              <w:rPr>
                <w:sz w:val="20"/>
              </w:rPr>
            </w:pPr>
          </w:p>
        </w:tc>
        <w:tc>
          <w:tcPr>
            <w:tcW w:w="3438" w:type="dxa"/>
          </w:tcPr>
          <w:p w:rsidR="00F67CEB" w:rsidRPr="000D55EF" w:rsidRDefault="00F67CEB" w:rsidP="00001043">
            <w:pPr>
              <w:jc w:val="both"/>
              <w:rPr>
                <w:sz w:val="20"/>
              </w:rPr>
            </w:pPr>
          </w:p>
          <w:p w:rsidR="00BA6F0C" w:rsidRDefault="00A64794" w:rsidP="00001043">
            <w:pPr>
              <w:jc w:val="both"/>
              <w:rPr>
                <w:sz w:val="20"/>
              </w:rPr>
            </w:pPr>
            <w:r>
              <w:rPr>
                <w:sz w:val="20"/>
              </w:rPr>
              <w:t>Incomprehensibility</w:t>
            </w:r>
          </w:p>
          <w:p w:rsidR="00A64794" w:rsidRDefault="00A64794" w:rsidP="00001043">
            <w:pPr>
              <w:jc w:val="both"/>
              <w:rPr>
                <w:sz w:val="20"/>
              </w:rPr>
            </w:pPr>
            <w:r>
              <w:rPr>
                <w:sz w:val="20"/>
              </w:rPr>
              <w:t>Lack of Meaning / Manipulation</w:t>
            </w:r>
          </w:p>
          <w:p w:rsidR="00A64794" w:rsidRDefault="00A64794" w:rsidP="00001043">
            <w:pPr>
              <w:jc w:val="both"/>
              <w:rPr>
                <w:sz w:val="20"/>
              </w:rPr>
            </w:pPr>
            <w:r>
              <w:rPr>
                <w:sz w:val="20"/>
              </w:rPr>
              <w:t>Relationship of Reality/Stage</w:t>
            </w:r>
          </w:p>
          <w:p w:rsidR="00A64794" w:rsidRDefault="00A64794" w:rsidP="00001043">
            <w:pPr>
              <w:jc w:val="both"/>
              <w:rPr>
                <w:i/>
                <w:sz w:val="20"/>
              </w:rPr>
            </w:pPr>
            <w:r>
              <w:rPr>
                <w:sz w:val="20"/>
              </w:rPr>
              <w:t xml:space="preserve">Shakespeare’s </w:t>
            </w:r>
            <w:r w:rsidRPr="00A64794">
              <w:rPr>
                <w:i/>
                <w:sz w:val="20"/>
              </w:rPr>
              <w:t>Hamlet</w:t>
            </w:r>
          </w:p>
          <w:p w:rsidR="00A64794" w:rsidRDefault="00A64794" w:rsidP="00001043">
            <w:pPr>
              <w:jc w:val="both"/>
              <w:rPr>
                <w:sz w:val="20"/>
              </w:rPr>
            </w:pPr>
            <w:r>
              <w:rPr>
                <w:sz w:val="20"/>
              </w:rPr>
              <w:t>Gambling</w:t>
            </w:r>
          </w:p>
          <w:p w:rsidR="00A64794" w:rsidRDefault="00A64794" w:rsidP="00001043">
            <w:pPr>
              <w:jc w:val="both"/>
              <w:rPr>
                <w:sz w:val="20"/>
              </w:rPr>
            </w:pPr>
            <w:r>
              <w:rPr>
                <w:sz w:val="20"/>
              </w:rPr>
              <w:t>Lord’s Prayer</w:t>
            </w:r>
          </w:p>
          <w:p w:rsidR="00A64794" w:rsidRDefault="00A64794" w:rsidP="00001043">
            <w:pPr>
              <w:jc w:val="both"/>
              <w:rPr>
                <w:sz w:val="20"/>
              </w:rPr>
            </w:pPr>
            <w:r>
              <w:rPr>
                <w:sz w:val="20"/>
              </w:rPr>
              <w:t>Isolation</w:t>
            </w:r>
          </w:p>
          <w:p w:rsidR="00A64794" w:rsidRDefault="00A64794" w:rsidP="00001043">
            <w:pPr>
              <w:jc w:val="both"/>
              <w:rPr>
                <w:sz w:val="20"/>
              </w:rPr>
            </w:pPr>
            <w:r>
              <w:rPr>
                <w:sz w:val="20"/>
              </w:rPr>
              <w:t>Free Will</w:t>
            </w:r>
          </w:p>
          <w:p w:rsidR="00A64794" w:rsidRPr="00A64794" w:rsidRDefault="00A64794" w:rsidP="00001043">
            <w:pPr>
              <w:jc w:val="both"/>
              <w:rPr>
                <w:sz w:val="20"/>
              </w:rPr>
            </w:pPr>
            <w:r>
              <w:rPr>
                <w:sz w:val="20"/>
              </w:rPr>
              <w:t>Mortality</w:t>
            </w:r>
          </w:p>
          <w:p w:rsidR="00A64794" w:rsidRPr="000D55EF" w:rsidRDefault="00A64794" w:rsidP="00001043">
            <w:pPr>
              <w:jc w:val="both"/>
              <w:rPr>
                <w:sz w:val="20"/>
              </w:rPr>
            </w:pPr>
          </w:p>
        </w:tc>
      </w:tr>
    </w:tbl>
    <w:p w:rsidR="005A2D83" w:rsidRPr="000D55EF" w:rsidRDefault="005A2D83" w:rsidP="00001043">
      <w:pPr>
        <w:spacing w:after="0"/>
        <w:jc w:val="both"/>
        <w:rPr>
          <w:sz w:val="20"/>
        </w:rPr>
      </w:pPr>
    </w:p>
    <w:p w:rsidR="00F67CEB" w:rsidRPr="000D55EF" w:rsidRDefault="00F67CEB" w:rsidP="00001043">
      <w:pPr>
        <w:spacing w:after="0"/>
        <w:jc w:val="both"/>
        <w:rPr>
          <w:sz w:val="20"/>
        </w:rPr>
      </w:pPr>
      <w:r w:rsidRPr="000D55EF">
        <w:rPr>
          <w:sz w:val="20"/>
        </w:rPr>
        <w:t xml:space="preserve">Following are a list of important passages that relate to the overall important themes of the novel.  IN YOUR TEXT, annotate these passages (just like you did for </w:t>
      </w:r>
      <w:r w:rsidRPr="000D55EF">
        <w:rPr>
          <w:i/>
          <w:sz w:val="20"/>
        </w:rPr>
        <w:t>Beloved</w:t>
      </w:r>
      <w:r w:rsidR="000757AB">
        <w:rPr>
          <w:i/>
          <w:sz w:val="20"/>
        </w:rPr>
        <w:t xml:space="preserve"> </w:t>
      </w:r>
      <w:r w:rsidR="000757AB">
        <w:rPr>
          <w:sz w:val="20"/>
        </w:rPr>
        <w:t xml:space="preserve">and </w:t>
      </w:r>
      <w:r w:rsidR="000757AB" w:rsidRPr="000757AB">
        <w:rPr>
          <w:i/>
          <w:sz w:val="20"/>
        </w:rPr>
        <w:t>Huck</w:t>
      </w:r>
      <w:r w:rsidRPr="000D55EF">
        <w:rPr>
          <w:sz w:val="20"/>
        </w:rPr>
        <w:t>).  In addition, either on this page or on separate paper, list which quotes pertain to which topics (some quotes may belong to more than one topic).</w:t>
      </w:r>
      <w:r w:rsidR="00191F9D" w:rsidRPr="000D55EF">
        <w:rPr>
          <w:sz w:val="20"/>
        </w:rPr>
        <w:t xml:space="preserve">  For the sake of space, I’ve included the page on which the quote is found, the first few words, and the last few words of the passage in question (assume everything in between will be important).</w:t>
      </w:r>
    </w:p>
    <w:p w:rsidR="00191F9D" w:rsidRDefault="00191F9D" w:rsidP="00001043">
      <w:pPr>
        <w:spacing w:after="0"/>
        <w:jc w:val="both"/>
        <w:rPr>
          <w:sz w:val="20"/>
        </w:rPr>
      </w:pPr>
    </w:p>
    <w:p w:rsidR="00A9737D" w:rsidRPr="00A9737D" w:rsidRDefault="00A9737D" w:rsidP="00A9737D">
      <w:pPr>
        <w:spacing w:after="0"/>
        <w:jc w:val="center"/>
        <w:rPr>
          <w:b/>
          <w:sz w:val="20"/>
        </w:rPr>
      </w:pPr>
      <w:r w:rsidRPr="00A9737D">
        <w:rPr>
          <w:b/>
          <w:sz w:val="20"/>
        </w:rPr>
        <w:t>PAGE NUMBERS ARE APPROXIMATE!</w:t>
      </w:r>
    </w:p>
    <w:tbl>
      <w:tblPr>
        <w:tblStyle w:val="TableGrid"/>
        <w:tblW w:w="0" w:type="auto"/>
        <w:tblLook w:val="04A0"/>
      </w:tblPr>
      <w:tblGrid>
        <w:gridCol w:w="4979"/>
        <w:gridCol w:w="4597"/>
      </w:tblGrid>
      <w:tr w:rsidR="003E6B3A" w:rsidTr="003E6B3A">
        <w:tc>
          <w:tcPr>
            <w:tcW w:w="5508" w:type="dxa"/>
          </w:tcPr>
          <w:p w:rsidR="00222236" w:rsidRDefault="00A9737D" w:rsidP="003E6B3A">
            <w:pPr>
              <w:jc w:val="both"/>
              <w:rPr>
                <w:sz w:val="20"/>
              </w:rPr>
            </w:pPr>
            <w:r>
              <w:rPr>
                <w:sz w:val="20"/>
              </w:rPr>
              <w:t>Sc1, 23 – For some of…the same side coin…</w:t>
            </w:r>
          </w:p>
          <w:p w:rsidR="00222236" w:rsidRDefault="00A9737D" w:rsidP="00A9737D">
            <w:pPr>
              <w:tabs>
                <w:tab w:val="left" w:pos="2917"/>
              </w:tabs>
              <w:jc w:val="both"/>
              <w:rPr>
                <w:sz w:val="20"/>
              </w:rPr>
            </w:pPr>
            <w:r>
              <w:rPr>
                <w:sz w:val="20"/>
              </w:rPr>
              <w:tab/>
            </w:r>
          </w:p>
          <w:p w:rsidR="00031020" w:rsidRDefault="00A9737D" w:rsidP="003E6B3A">
            <w:pPr>
              <w:jc w:val="both"/>
              <w:rPr>
                <w:sz w:val="20"/>
              </w:rPr>
            </w:pPr>
            <w:r>
              <w:rPr>
                <w:sz w:val="20"/>
              </w:rPr>
              <w:t>Sc 1, 28 – We do on…entrance somewhere else.</w:t>
            </w:r>
          </w:p>
          <w:p w:rsidR="00343B1A" w:rsidRDefault="00343B1A" w:rsidP="003E6B3A">
            <w:pPr>
              <w:jc w:val="both"/>
              <w:rPr>
                <w:sz w:val="20"/>
              </w:rPr>
            </w:pPr>
          </w:p>
          <w:p w:rsidR="00343B1A" w:rsidRDefault="00A9737D" w:rsidP="003E6B3A">
            <w:pPr>
              <w:jc w:val="both"/>
              <w:rPr>
                <w:sz w:val="20"/>
              </w:rPr>
            </w:pPr>
            <w:r>
              <w:rPr>
                <w:sz w:val="20"/>
              </w:rPr>
              <w:t>Sc 1, 32 - …</w:t>
            </w:r>
            <w:r w:rsidR="003422EF">
              <w:rPr>
                <w:sz w:val="20"/>
              </w:rPr>
              <w:t>W</w:t>
            </w:r>
            <w:r>
              <w:rPr>
                <w:sz w:val="20"/>
              </w:rPr>
              <w:t>e cou</w:t>
            </w:r>
            <w:r w:rsidR="003422EF">
              <w:rPr>
                <w:sz w:val="20"/>
              </w:rPr>
              <w:t>l</w:t>
            </w:r>
            <w:r>
              <w:rPr>
                <w:sz w:val="20"/>
              </w:rPr>
              <w:t>d create…theaters of Europe.</w:t>
            </w:r>
          </w:p>
          <w:p w:rsidR="003422EF" w:rsidRDefault="003422EF" w:rsidP="003E6B3A">
            <w:pPr>
              <w:jc w:val="both"/>
              <w:rPr>
                <w:sz w:val="20"/>
              </w:rPr>
            </w:pPr>
          </w:p>
          <w:p w:rsidR="003422EF" w:rsidRDefault="003422EF" w:rsidP="003E6B3A">
            <w:pPr>
              <w:jc w:val="both"/>
              <w:rPr>
                <w:sz w:val="20"/>
              </w:rPr>
            </w:pPr>
            <w:r>
              <w:rPr>
                <w:sz w:val="20"/>
              </w:rPr>
              <w:t>Sc 1, 39 – All your life…by a grotesque.</w:t>
            </w:r>
          </w:p>
          <w:p w:rsidR="006E5942" w:rsidRDefault="006E5942" w:rsidP="003E6B3A">
            <w:pPr>
              <w:jc w:val="both"/>
              <w:rPr>
                <w:sz w:val="20"/>
              </w:rPr>
            </w:pPr>
          </w:p>
          <w:p w:rsidR="006E5942" w:rsidRDefault="00A9737D" w:rsidP="003E6B3A">
            <w:pPr>
              <w:jc w:val="both"/>
              <w:rPr>
                <w:sz w:val="20"/>
              </w:rPr>
            </w:pPr>
            <w:r>
              <w:rPr>
                <w:sz w:val="20"/>
              </w:rPr>
              <w:t>Sc 1, 39 – We can’t afford…presented with alternatives.</w:t>
            </w:r>
          </w:p>
          <w:p w:rsidR="006E5942" w:rsidRDefault="006E5942" w:rsidP="003E6B3A">
            <w:pPr>
              <w:jc w:val="both"/>
              <w:rPr>
                <w:sz w:val="20"/>
              </w:rPr>
            </w:pPr>
          </w:p>
          <w:p w:rsidR="006E5942" w:rsidRDefault="00A9737D" w:rsidP="003E6B3A">
            <w:pPr>
              <w:jc w:val="both"/>
              <w:rPr>
                <w:sz w:val="20"/>
              </w:rPr>
            </w:pPr>
            <w:r>
              <w:rPr>
                <w:sz w:val="20"/>
              </w:rPr>
              <w:t>Sc 1, 39 – Give us this day our daily mask.</w:t>
            </w:r>
          </w:p>
          <w:p w:rsidR="002B4B66" w:rsidRDefault="002B4B66" w:rsidP="003E6B3A">
            <w:pPr>
              <w:jc w:val="both"/>
              <w:rPr>
                <w:sz w:val="20"/>
              </w:rPr>
            </w:pPr>
          </w:p>
          <w:p w:rsidR="002B4B66" w:rsidRDefault="00A9737D" w:rsidP="003E6B3A">
            <w:pPr>
              <w:jc w:val="both"/>
              <w:rPr>
                <w:sz w:val="20"/>
              </w:rPr>
            </w:pPr>
            <w:r>
              <w:rPr>
                <w:sz w:val="20"/>
              </w:rPr>
              <w:t>Sc 1, 41 – What are you…to go on.</w:t>
            </w:r>
          </w:p>
          <w:p w:rsidR="00397D1A" w:rsidRDefault="00397D1A" w:rsidP="003E6B3A">
            <w:pPr>
              <w:jc w:val="both"/>
              <w:rPr>
                <w:sz w:val="20"/>
              </w:rPr>
            </w:pPr>
          </w:p>
          <w:p w:rsidR="00397D1A" w:rsidRDefault="00A9737D" w:rsidP="003E6B3A">
            <w:pPr>
              <w:jc w:val="both"/>
              <w:rPr>
                <w:sz w:val="20"/>
              </w:rPr>
            </w:pPr>
            <w:r>
              <w:rPr>
                <w:sz w:val="20"/>
              </w:rPr>
              <w:t>Sc 1, 41 – I feel like…in a minute.</w:t>
            </w:r>
          </w:p>
          <w:p w:rsidR="00683091" w:rsidRDefault="00683091" w:rsidP="003E6B3A">
            <w:pPr>
              <w:jc w:val="both"/>
              <w:rPr>
                <w:sz w:val="20"/>
              </w:rPr>
            </w:pPr>
          </w:p>
          <w:p w:rsidR="00683091" w:rsidRDefault="00A9737D" w:rsidP="003E6B3A">
            <w:pPr>
              <w:jc w:val="both"/>
              <w:rPr>
                <w:sz w:val="20"/>
              </w:rPr>
            </w:pPr>
            <w:r>
              <w:rPr>
                <w:sz w:val="20"/>
              </w:rPr>
              <w:t>Sc 1, 45 – Consistency is all I ask!</w:t>
            </w:r>
          </w:p>
          <w:p w:rsidR="007A22E1" w:rsidRDefault="007A22E1" w:rsidP="003E6B3A">
            <w:pPr>
              <w:jc w:val="both"/>
              <w:rPr>
                <w:sz w:val="20"/>
              </w:rPr>
            </w:pPr>
          </w:p>
          <w:p w:rsidR="007A22E1" w:rsidRDefault="00A9737D" w:rsidP="003E6B3A">
            <w:pPr>
              <w:jc w:val="both"/>
              <w:rPr>
                <w:sz w:val="20"/>
              </w:rPr>
            </w:pPr>
            <w:r>
              <w:rPr>
                <w:sz w:val="20"/>
              </w:rPr>
              <w:t>Sc 1, 47 – What am I then? / How should I begin?</w:t>
            </w:r>
          </w:p>
          <w:p w:rsidR="00031020" w:rsidRDefault="00031020" w:rsidP="003E6B3A">
            <w:pPr>
              <w:jc w:val="both"/>
              <w:rPr>
                <w:sz w:val="20"/>
              </w:rPr>
            </w:pPr>
          </w:p>
          <w:p w:rsidR="00031020" w:rsidRDefault="00A9737D" w:rsidP="003E6B3A">
            <w:pPr>
              <w:jc w:val="both"/>
              <w:rPr>
                <w:sz w:val="20"/>
              </w:rPr>
            </w:pPr>
            <w:r>
              <w:rPr>
                <w:sz w:val="20"/>
              </w:rPr>
              <w:t>Sc 2, 57 – Half of what…anything at all.</w:t>
            </w:r>
          </w:p>
          <w:p w:rsidR="007A22E1" w:rsidRDefault="007A22E1" w:rsidP="003E6B3A">
            <w:pPr>
              <w:jc w:val="both"/>
              <w:rPr>
                <w:sz w:val="20"/>
              </w:rPr>
            </w:pPr>
          </w:p>
          <w:p w:rsidR="004D5B46" w:rsidRPr="004D5B46" w:rsidRDefault="004D5B46" w:rsidP="004D5B46">
            <w:pPr>
              <w:jc w:val="both"/>
              <w:rPr>
                <w:sz w:val="20"/>
              </w:rPr>
            </w:pPr>
            <w:r>
              <w:rPr>
                <w:sz w:val="20"/>
              </w:rPr>
              <w:t>Sc 2, 60 – It’s all right…in their shoes.</w:t>
            </w:r>
          </w:p>
        </w:tc>
        <w:tc>
          <w:tcPr>
            <w:tcW w:w="5508" w:type="dxa"/>
          </w:tcPr>
          <w:p w:rsidR="003422EF" w:rsidRDefault="003422EF" w:rsidP="003422EF">
            <w:pPr>
              <w:jc w:val="both"/>
              <w:rPr>
                <w:sz w:val="20"/>
              </w:rPr>
            </w:pPr>
            <w:r>
              <w:rPr>
                <w:sz w:val="20"/>
              </w:rPr>
              <w:t xml:space="preserve">Sc 2, 63- 4- We’re </w:t>
            </w:r>
            <w:r>
              <w:rPr>
                <w:i/>
                <w:sz w:val="20"/>
              </w:rPr>
              <w:t>actors…</w:t>
            </w:r>
            <w:r>
              <w:rPr>
                <w:sz w:val="20"/>
              </w:rPr>
              <w:t>it was obscene.</w:t>
            </w:r>
          </w:p>
          <w:p w:rsidR="003422EF" w:rsidRPr="004D5B46" w:rsidRDefault="003422EF" w:rsidP="003422EF">
            <w:pPr>
              <w:jc w:val="both"/>
              <w:rPr>
                <w:sz w:val="20"/>
              </w:rPr>
            </w:pPr>
          </w:p>
          <w:p w:rsidR="003422EF" w:rsidRDefault="003422EF" w:rsidP="003422EF">
            <w:pPr>
              <w:jc w:val="both"/>
              <w:rPr>
                <w:sz w:val="20"/>
              </w:rPr>
            </w:pPr>
            <w:bookmarkStart w:id="0" w:name="_GoBack"/>
            <w:bookmarkEnd w:id="0"/>
            <w:r>
              <w:rPr>
                <w:sz w:val="20"/>
              </w:rPr>
              <w:t xml:space="preserve">Sc 2, 66 – Relax.  Respond…how to </w:t>
            </w:r>
            <w:r w:rsidRPr="004D5B46">
              <w:rPr>
                <w:i/>
                <w:sz w:val="20"/>
              </w:rPr>
              <w:t>act</w:t>
            </w:r>
            <w:r>
              <w:rPr>
                <w:sz w:val="20"/>
              </w:rPr>
              <w:t>.</w:t>
            </w:r>
          </w:p>
          <w:p w:rsidR="003422EF" w:rsidRDefault="003422EF" w:rsidP="003422EF">
            <w:pPr>
              <w:jc w:val="both"/>
              <w:rPr>
                <w:sz w:val="20"/>
              </w:rPr>
            </w:pPr>
          </w:p>
          <w:p w:rsidR="003422EF" w:rsidRDefault="003422EF" w:rsidP="003422EF">
            <w:pPr>
              <w:jc w:val="both"/>
              <w:rPr>
                <w:sz w:val="20"/>
              </w:rPr>
            </w:pPr>
            <w:r>
              <w:rPr>
                <w:sz w:val="20"/>
              </w:rPr>
              <w:t>Sc 2, 67 – Hamlet is not himself, outside or in.</w:t>
            </w:r>
          </w:p>
          <w:p w:rsidR="003422EF" w:rsidRDefault="003422EF" w:rsidP="003422EF">
            <w:pPr>
              <w:jc w:val="both"/>
              <w:rPr>
                <w:sz w:val="20"/>
              </w:rPr>
            </w:pPr>
          </w:p>
          <w:p w:rsidR="003422EF" w:rsidRDefault="003422EF" w:rsidP="003422EF">
            <w:pPr>
              <w:jc w:val="both"/>
              <w:rPr>
                <w:sz w:val="20"/>
              </w:rPr>
            </w:pPr>
            <w:r>
              <w:rPr>
                <w:sz w:val="20"/>
              </w:rPr>
              <w:t>Sc 2, 79 – Keep back—we’re spectators.</w:t>
            </w:r>
          </w:p>
          <w:p w:rsidR="003422EF" w:rsidRDefault="003422EF" w:rsidP="003422EF">
            <w:pPr>
              <w:jc w:val="both"/>
              <w:rPr>
                <w:sz w:val="20"/>
              </w:rPr>
            </w:pPr>
          </w:p>
          <w:p w:rsidR="003422EF" w:rsidRDefault="003422EF" w:rsidP="003422EF">
            <w:pPr>
              <w:jc w:val="both"/>
              <w:rPr>
                <w:sz w:val="20"/>
              </w:rPr>
            </w:pPr>
            <w:r>
              <w:rPr>
                <w:sz w:val="20"/>
              </w:rPr>
              <w:t>Sc 3, 102 – Give us this day our daily cue.</w:t>
            </w:r>
          </w:p>
          <w:p w:rsidR="003422EF" w:rsidRDefault="003422EF" w:rsidP="003422EF">
            <w:pPr>
              <w:jc w:val="both"/>
              <w:rPr>
                <w:sz w:val="20"/>
              </w:rPr>
            </w:pPr>
          </w:p>
          <w:p w:rsidR="003422EF" w:rsidRDefault="003422EF" w:rsidP="003422EF">
            <w:pPr>
              <w:jc w:val="both"/>
              <w:rPr>
                <w:sz w:val="20"/>
              </w:rPr>
            </w:pPr>
            <w:r>
              <w:rPr>
                <w:sz w:val="20"/>
              </w:rPr>
              <w:t>Sc 3, 102 – We act on scraps of information…</w:t>
            </w:r>
          </w:p>
          <w:p w:rsidR="003422EF" w:rsidRDefault="003422EF" w:rsidP="003422EF">
            <w:pPr>
              <w:jc w:val="both"/>
              <w:rPr>
                <w:sz w:val="20"/>
              </w:rPr>
            </w:pPr>
          </w:p>
          <w:p w:rsidR="003422EF" w:rsidRDefault="003422EF" w:rsidP="003422EF">
            <w:pPr>
              <w:jc w:val="both"/>
              <w:rPr>
                <w:sz w:val="20"/>
              </w:rPr>
            </w:pPr>
            <w:r>
              <w:rPr>
                <w:sz w:val="20"/>
              </w:rPr>
              <w:t>Sc 3, 108 – All right</w:t>
            </w:r>
            <w:proofErr w:type="gramStart"/>
            <w:r>
              <w:rPr>
                <w:sz w:val="20"/>
              </w:rPr>
              <w:t>!...</w:t>
            </w:r>
            <w:proofErr w:type="gramEnd"/>
            <w:r>
              <w:rPr>
                <w:sz w:val="20"/>
              </w:rPr>
              <w:t>be drawn somewhere….</w:t>
            </w:r>
          </w:p>
          <w:p w:rsidR="003422EF" w:rsidRDefault="003422EF" w:rsidP="003422EF">
            <w:pPr>
              <w:jc w:val="both"/>
              <w:rPr>
                <w:sz w:val="20"/>
              </w:rPr>
            </w:pPr>
          </w:p>
          <w:p w:rsidR="003422EF" w:rsidRDefault="003422EF" w:rsidP="003422EF">
            <w:pPr>
              <w:jc w:val="both"/>
              <w:rPr>
                <w:i/>
                <w:sz w:val="20"/>
              </w:rPr>
            </w:pPr>
            <w:r>
              <w:rPr>
                <w:sz w:val="20"/>
              </w:rPr>
              <w:t>Sc 3, 116 – HAMLET</w:t>
            </w:r>
            <w:r>
              <w:rPr>
                <w:i/>
                <w:sz w:val="20"/>
              </w:rPr>
              <w:t xml:space="preserve"> comes down…goes back upstage.</w:t>
            </w:r>
          </w:p>
          <w:p w:rsidR="003422EF" w:rsidRDefault="003422EF" w:rsidP="003422EF">
            <w:pPr>
              <w:jc w:val="both"/>
              <w:rPr>
                <w:i/>
                <w:sz w:val="20"/>
              </w:rPr>
            </w:pPr>
          </w:p>
          <w:p w:rsidR="002572B7" w:rsidRDefault="003422EF" w:rsidP="003422EF">
            <w:pPr>
              <w:jc w:val="both"/>
              <w:rPr>
                <w:sz w:val="20"/>
              </w:rPr>
            </w:pPr>
            <w:r>
              <w:rPr>
                <w:sz w:val="20"/>
              </w:rPr>
              <w:t>Sc 3, 122 – We can move…were so important.</w:t>
            </w:r>
          </w:p>
        </w:tc>
      </w:tr>
    </w:tbl>
    <w:p w:rsidR="00F67CEB" w:rsidRPr="000D55EF" w:rsidRDefault="00F67CEB" w:rsidP="00001043">
      <w:pPr>
        <w:spacing w:after="0"/>
        <w:jc w:val="both"/>
        <w:rPr>
          <w:sz w:val="20"/>
        </w:rPr>
      </w:pPr>
    </w:p>
    <w:p w:rsidR="00F67CEB" w:rsidRPr="000D55EF" w:rsidRDefault="00F67CEB" w:rsidP="00001043">
      <w:pPr>
        <w:spacing w:after="0"/>
        <w:jc w:val="both"/>
        <w:rPr>
          <w:sz w:val="20"/>
        </w:rPr>
      </w:pPr>
    </w:p>
    <w:sectPr w:rsidR="00F67CEB" w:rsidRPr="000D55EF" w:rsidSect="00E304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001043"/>
    <w:rsid w:val="00001043"/>
    <w:rsid w:val="00004FEE"/>
    <w:rsid w:val="00031020"/>
    <w:rsid w:val="00045116"/>
    <w:rsid w:val="000757AB"/>
    <w:rsid w:val="000A17FE"/>
    <w:rsid w:val="000C4038"/>
    <w:rsid w:val="000D55EF"/>
    <w:rsid w:val="00191F9D"/>
    <w:rsid w:val="00193CDC"/>
    <w:rsid w:val="00222236"/>
    <w:rsid w:val="002572B7"/>
    <w:rsid w:val="002B4B66"/>
    <w:rsid w:val="00302B6B"/>
    <w:rsid w:val="003208A2"/>
    <w:rsid w:val="003256F6"/>
    <w:rsid w:val="0034227D"/>
    <w:rsid w:val="003422EF"/>
    <w:rsid w:val="00343B1A"/>
    <w:rsid w:val="00397D1A"/>
    <w:rsid w:val="003E6B3A"/>
    <w:rsid w:val="004D5B46"/>
    <w:rsid w:val="005A2D83"/>
    <w:rsid w:val="005B4CC0"/>
    <w:rsid w:val="00683091"/>
    <w:rsid w:val="006E5942"/>
    <w:rsid w:val="007123C5"/>
    <w:rsid w:val="007628F3"/>
    <w:rsid w:val="007A22E1"/>
    <w:rsid w:val="0080594A"/>
    <w:rsid w:val="008428EF"/>
    <w:rsid w:val="0088707A"/>
    <w:rsid w:val="008B515F"/>
    <w:rsid w:val="008D1C1C"/>
    <w:rsid w:val="00967F77"/>
    <w:rsid w:val="0099420D"/>
    <w:rsid w:val="00A214A9"/>
    <w:rsid w:val="00A64794"/>
    <w:rsid w:val="00A74943"/>
    <w:rsid w:val="00A9737D"/>
    <w:rsid w:val="00BA6F0C"/>
    <w:rsid w:val="00C05656"/>
    <w:rsid w:val="00C25EAA"/>
    <w:rsid w:val="00CC55A6"/>
    <w:rsid w:val="00CE017B"/>
    <w:rsid w:val="00D87A5E"/>
    <w:rsid w:val="00DF2DB9"/>
    <w:rsid w:val="00E30449"/>
    <w:rsid w:val="00E54B7D"/>
    <w:rsid w:val="00E56C0A"/>
    <w:rsid w:val="00E6788B"/>
    <w:rsid w:val="00EB5D18"/>
    <w:rsid w:val="00F67C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D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2012-12-03T17:02:00Z</dcterms:created>
  <dcterms:modified xsi:type="dcterms:W3CDTF">2012-12-03T17:02:00Z</dcterms:modified>
</cp:coreProperties>
</file>