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0D55EF" w:rsidRDefault="004275A5" w:rsidP="00001043">
      <w:pPr>
        <w:spacing w:after="0"/>
        <w:jc w:val="center"/>
        <w:rPr>
          <w:b/>
          <w:i/>
          <w:sz w:val="20"/>
        </w:rPr>
      </w:pPr>
      <w:r>
        <w:rPr>
          <w:b/>
          <w:i/>
          <w:sz w:val="20"/>
        </w:rPr>
        <w:t>Hamlet</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novel </w:t>
      </w:r>
      <w:r w:rsidR="004275A5">
        <w:rPr>
          <w:i/>
          <w:sz w:val="20"/>
        </w:rPr>
        <w:t>Hamlet</w:t>
      </w:r>
      <w:r w:rsidRPr="000D55EF">
        <w:rPr>
          <w:i/>
          <w:sz w:val="20"/>
        </w:rPr>
        <w:t xml:space="preserve">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tblPr>
      <w:tblGrid>
        <w:gridCol w:w="2898"/>
        <w:gridCol w:w="3420"/>
        <w:gridCol w:w="3258"/>
      </w:tblGrid>
      <w:tr w:rsidR="00F67CEB" w:rsidRPr="000D55EF" w:rsidTr="0039623B">
        <w:trPr>
          <w:jc w:val="center"/>
        </w:trPr>
        <w:tc>
          <w:tcPr>
            <w:tcW w:w="2898" w:type="dxa"/>
          </w:tcPr>
          <w:p w:rsidR="00F67CEB" w:rsidRPr="000D55EF" w:rsidRDefault="00F67CEB" w:rsidP="005A2D83">
            <w:pPr>
              <w:jc w:val="center"/>
              <w:rPr>
                <w:i/>
                <w:sz w:val="20"/>
              </w:rPr>
            </w:pPr>
            <w:r w:rsidRPr="000D55EF">
              <w:rPr>
                <w:i/>
                <w:sz w:val="20"/>
              </w:rPr>
              <w:t>Characters</w:t>
            </w:r>
          </w:p>
        </w:tc>
        <w:tc>
          <w:tcPr>
            <w:tcW w:w="3420" w:type="dxa"/>
          </w:tcPr>
          <w:p w:rsidR="00F67CEB" w:rsidRPr="000D55EF" w:rsidRDefault="00F67CEB" w:rsidP="005A2D83">
            <w:pPr>
              <w:jc w:val="center"/>
              <w:rPr>
                <w:i/>
                <w:sz w:val="20"/>
              </w:rPr>
            </w:pPr>
            <w:r w:rsidRPr="000D55EF">
              <w:rPr>
                <w:i/>
                <w:sz w:val="20"/>
              </w:rPr>
              <w:t>Symbols / “Stuff”</w:t>
            </w:r>
          </w:p>
        </w:tc>
        <w:tc>
          <w:tcPr>
            <w:tcW w:w="3258" w:type="dxa"/>
          </w:tcPr>
          <w:p w:rsidR="00F67CEB" w:rsidRPr="000D55EF" w:rsidRDefault="00F67CEB" w:rsidP="005A2D83">
            <w:pPr>
              <w:jc w:val="center"/>
              <w:rPr>
                <w:i/>
                <w:sz w:val="20"/>
              </w:rPr>
            </w:pPr>
            <w:r w:rsidRPr="000D55EF">
              <w:rPr>
                <w:i/>
                <w:sz w:val="20"/>
              </w:rPr>
              <w:t>Major Themes /Topics</w:t>
            </w:r>
          </w:p>
        </w:tc>
      </w:tr>
      <w:tr w:rsidR="00F67CEB" w:rsidRPr="000D55EF" w:rsidTr="0039623B">
        <w:trPr>
          <w:trHeight w:val="2276"/>
          <w:jc w:val="center"/>
        </w:trPr>
        <w:tc>
          <w:tcPr>
            <w:tcW w:w="2898" w:type="dxa"/>
          </w:tcPr>
          <w:p w:rsidR="00F67CEB" w:rsidRPr="000D55EF" w:rsidRDefault="00F67CEB" w:rsidP="00001043">
            <w:pPr>
              <w:jc w:val="both"/>
              <w:rPr>
                <w:sz w:val="20"/>
              </w:rPr>
            </w:pPr>
          </w:p>
          <w:p w:rsidR="008D1C1C" w:rsidRDefault="004275A5" w:rsidP="00001043">
            <w:pPr>
              <w:jc w:val="both"/>
              <w:rPr>
                <w:sz w:val="20"/>
              </w:rPr>
            </w:pPr>
            <w:r>
              <w:rPr>
                <w:sz w:val="20"/>
              </w:rPr>
              <w:t>Hamlet (1 &amp; 2)</w:t>
            </w:r>
          </w:p>
          <w:p w:rsidR="004275A5" w:rsidRDefault="004275A5" w:rsidP="00001043">
            <w:pPr>
              <w:jc w:val="both"/>
              <w:rPr>
                <w:sz w:val="20"/>
              </w:rPr>
            </w:pPr>
            <w:r>
              <w:rPr>
                <w:sz w:val="20"/>
              </w:rPr>
              <w:t>Claudius</w:t>
            </w:r>
          </w:p>
          <w:p w:rsidR="004275A5" w:rsidRDefault="004275A5" w:rsidP="00001043">
            <w:pPr>
              <w:jc w:val="both"/>
              <w:rPr>
                <w:sz w:val="20"/>
              </w:rPr>
            </w:pPr>
            <w:r>
              <w:rPr>
                <w:sz w:val="20"/>
              </w:rPr>
              <w:t>Gertrude</w:t>
            </w:r>
          </w:p>
          <w:p w:rsidR="004275A5" w:rsidRDefault="004275A5" w:rsidP="00001043">
            <w:pPr>
              <w:jc w:val="both"/>
              <w:rPr>
                <w:sz w:val="20"/>
              </w:rPr>
            </w:pPr>
            <w:r>
              <w:rPr>
                <w:sz w:val="20"/>
              </w:rPr>
              <w:t>Ophelia</w:t>
            </w:r>
          </w:p>
          <w:p w:rsidR="004275A5" w:rsidRDefault="004275A5" w:rsidP="00001043">
            <w:pPr>
              <w:jc w:val="both"/>
              <w:rPr>
                <w:sz w:val="20"/>
              </w:rPr>
            </w:pPr>
            <w:r>
              <w:rPr>
                <w:sz w:val="20"/>
              </w:rPr>
              <w:t>Polonius</w:t>
            </w:r>
          </w:p>
          <w:p w:rsidR="004275A5" w:rsidRDefault="004275A5" w:rsidP="00001043">
            <w:pPr>
              <w:jc w:val="both"/>
              <w:rPr>
                <w:sz w:val="20"/>
              </w:rPr>
            </w:pPr>
            <w:r>
              <w:rPr>
                <w:sz w:val="20"/>
              </w:rPr>
              <w:t>Laertes</w:t>
            </w:r>
          </w:p>
          <w:p w:rsidR="004275A5" w:rsidRDefault="004275A5" w:rsidP="00001043">
            <w:pPr>
              <w:jc w:val="both"/>
              <w:rPr>
                <w:sz w:val="20"/>
              </w:rPr>
            </w:pPr>
            <w:r>
              <w:rPr>
                <w:sz w:val="20"/>
              </w:rPr>
              <w:t>Rosencrantz/Guildenstern</w:t>
            </w:r>
          </w:p>
          <w:p w:rsidR="004275A5" w:rsidRPr="000D55EF" w:rsidRDefault="004275A5" w:rsidP="00001043">
            <w:pPr>
              <w:jc w:val="both"/>
              <w:rPr>
                <w:sz w:val="20"/>
              </w:rPr>
            </w:pPr>
            <w:proofErr w:type="spellStart"/>
            <w:r>
              <w:rPr>
                <w:sz w:val="20"/>
              </w:rPr>
              <w:t>Fortinbras</w:t>
            </w:r>
            <w:proofErr w:type="spellEnd"/>
          </w:p>
          <w:p w:rsidR="00F67CEB" w:rsidRPr="000D55EF" w:rsidRDefault="00F67CEB" w:rsidP="00001043">
            <w:pPr>
              <w:jc w:val="both"/>
              <w:rPr>
                <w:sz w:val="20"/>
              </w:rPr>
            </w:pPr>
          </w:p>
        </w:tc>
        <w:tc>
          <w:tcPr>
            <w:tcW w:w="3420" w:type="dxa"/>
          </w:tcPr>
          <w:p w:rsidR="00F67CEB" w:rsidRPr="000D55EF" w:rsidRDefault="00F67CEB" w:rsidP="00001043">
            <w:pPr>
              <w:jc w:val="both"/>
              <w:rPr>
                <w:sz w:val="20"/>
              </w:rPr>
            </w:pPr>
          </w:p>
          <w:p w:rsidR="00F67CEB" w:rsidRPr="000D55EF" w:rsidRDefault="0039623B" w:rsidP="00001043">
            <w:pPr>
              <w:jc w:val="both"/>
              <w:rPr>
                <w:sz w:val="20"/>
              </w:rPr>
            </w:pPr>
            <w:r>
              <w:rPr>
                <w:sz w:val="20"/>
              </w:rPr>
              <w:t>The skull</w:t>
            </w:r>
          </w:p>
          <w:p w:rsidR="00F67CEB" w:rsidRPr="000D55EF" w:rsidRDefault="0039623B" w:rsidP="00001043">
            <w:pPr>
              <w:jc w:val="both"/>
              <w:rPr>
                <w:sz w:val="20"/>
              </w:rPr>
            </w:pPr>
            <w:r>
              <w:rPr>
                <w:sz w:val="20"/>
              </w:rPr>
              <w:t xml:space="preserve">Ghosts </w:t>
            </w:r>
          </w:p>
          <w:p w:rsidR="000757AB" w:rsidRDefault="0039623B" w:rsidP="00001043">
            <w:pPr>
              <w:jc w:val="both"/>
              <w:rPr>
                <w:sz w:val="20"/>
              </w:rPr>
            </w:pPr>
            <w:r>
              <w:rPr>
                <w:sz w:val="20"/>
              </w:rPr>
              <w:t>Rotting Gardens</w:t>
            </w:r>
          </w:p>
          <w:p w:rsidR="0039623B" w:rsidRDefault="0039623B" w:rsidP="00001043">
            <w:pPr>
              <w:jc w:val="both"/>
              <w:rPr>
                <w:sz w:val="20"/>
              </w:rPr>
            </w:pPr>
            <w:r>
              <w:rPr>
                <w:sz w:val="20"/>
              </w:rPr>
              <w:t>Flowers (could be paired with gardens)</w:t>
            </w:r>
          </w:p>
          <w:p w:rsidR="00F67CEB" w:rsidRPr="000D55EF" w:rsidRDefault="00F67CEB" w:rsidP="00001043">
            <w:pPr>
              <w:jc w:val="both"/>
              <w:rPr>
                <w:sz w:val="20"/>
              </w:rPr>
            </w:pPr>
          </w:p>
        </w:tc>
        <w:tc>
          <w:tcPr>
            <w:tcW w:w="3258" w:type="dxa"/>
          </w:tcPr>
          <w:p w:rsidR="00F67CEB" w:rsidRPr="000D55EF" w:rsidRDefault="00F67CEB" w:rsidP="00001043">
            <w:pPr>
              <w:jc w:val="both"/>
              <w:rPr>
                <w:sz w:val="20"/>
              </w:rPr>
            </w:pPr>
          </w:p>
          <w:p w:rsidR="002B4B66" w:rsidRDefault="004275A5" w:rsidP="00001043">
            <w:pPr>
              <w:jc w:val="both"/>
              <w:rPr>
                <w:sz w:val="20"/>
              </w:rPr>
            </w:pPr>
            <w:r>
              <w:rPr>
                <w:sz w:val="20"/>
              </w:rPr>
              <w:t>Uncertainty</w:t>
            </w:r>
            <w:r w:rsidR="0039623B">
              <w:rPr>
                <w:sz w:val="20"/>
              </w:rPr>
              <w:t>/Lies</w:t>
            </w:r>
          </w:p>
          <w:p w:rsidR="008D1C1C" w:rsidRDefault="004275A5" w:rsidP="00001043">
            <w:pPr>
              <w:jc w:val="both"/>
              <w:rPr>
                <w:sz w:val="20"/>
              </w:rPr>
            </w:pPr>
            <w:r>
              <w:rPr>
                <w:sz w:val="20"/>
              </w:rPr>
              <w:t>In/Action</w:t>
            </w:r>
          </w:p>
          <w:p w:rsidR="008D1C1C" w:rsidRDefault="004275A5" w:rsidP="00001043">
            <w:pPr>
              <w:jc w:val="both"/>
              <w:rPr>
                <w:sz w:val="20"/>
              </w:rPr>
            </w:pPr>
            <w:r>
              <w:rPr>
                <w:sz w:val="20"/>
              </w:rPr>
              <w:t>Death/mortality</w:t>
            </w:r>
          </w:p>
          <w:p w:rsidR="00BA6F0C" w:rsidRDefault="004275A5" w:rsidP="00001043">
            <w:pPr>
              <w:jc w:val="both"/>
              <w:rPr>
                <w:sz w:val="20"/>
              </w:rPr>
            </w:pPr>
            <w:r>
              <w:rPr>
                <w:sz w:val="20"/>
              </w:rPr>
              <w:t>Disease and Nationhood</w:t>
            </w:r>
          </w:p>
          <w:p w:rsidR="00BA6F0C" w:rsidRDefault="004275A5" w:rsidP="00001043">
            <w:pPr>
              <w:jc w:val="both"/>
              <w:rPr>
                <w:sz w:val="20"/>
              </w:rPr>
            </w:pPr>
            <w:r>
              <w:rPr>
                <w:sz w:val="20"/>
              </w:rPr>
              <w:t>Incest/Desire</w:t>
            </w:r>
            <w:r w:rsidR="0039623B">
              <w:rPr>
                <w:sz w:val="20"/>
              </w:rPr>
              <w:t>/Sexuality</w:t>
            </w:r>
          </w:p>
          <w:p w:rsidR="00BA6F0C" w:rsidRDefault="0039623B" w:rsidP="00001043">
            <w:pPr>
              <w:jc w:val="both"/>
              <w:rPr>
                <w:sz w:val="20"/>
              </w:rPr>
            </w:pPr>
            <w:r>
              <w:rPr>
                <w:sz w:val="20"/>
              </w:rPr>
              <w:t>Hearing/Ears</w:t>
            </w:r>
          </w:p>
          <w:p w:rsidR="0039623B" w:rsidRPr="000D55EF" w:rsidRDefault="0039623B" w:rsidP="00001043">
            <w:pPr>
              <w:jc w:val="both"/>
              <w:rPr>
                <w:sz w:val="20"/>
              </w:rPr>
            </w:pPr>
            <w:r>
              <w:rPr>
                <w:sz w:val="20"/>
              </w:rPr>
              <w:t xml:space="preserve">Insanity </w:t>
            </w: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Following are a list of important passages that relate to the overall important themes of the novel.  IN YOUR TEXT, annotate these passages.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tblPr>
      <w:tblGrid>
        <w:gridCol w:w="4790"/>
        <w:gridCol w:w="4786"/>
      </w:tblGrid>
      <w:tr w:rsidR="003E6B3A" w:rsidTr="003E6B3A">
        <w:tc>
          <w:tcPr>
            <w:tcW w:w="5508" w:type="dxa"/>
          </w:tcPr>
          <w:p w:rsidR="00B25141" w:rsidRDefault="00B25141" w:rsidP="003E6B3A">
            <w:pPr>
              <w:jc w:val="both"/>
              <w:rPr>
                <w:sz w:val="20"/>
              </w:rPr>
            </w:pPr>
            <w:r>
              <w:rPr>
                <w:sz w:val="20"/>
              </w:rPr>
              <w:t>1.2.1 – Though yet of…remembrance of ourselves</w:t>
            </w:r>
          </w:p>
          <w:p w:rsidR="00D60812" w:rsidRDefault="00D60812" w:rsidP="003E6B3A">
            <w:pPr>
              <w:jc w:val="both"/>
              <w:rPr>
                <w:sz w:val="20"/>
              </w:rPr>
            </w:pPr>
          </w:p>
          <w:p w:rsidR="00D60812" w:rsidRDefault="00D60812" w:rsidP="003E6B3A">
            <w:pPr>
              <w:jc w:val="both"/>
              <w:rPr>
                <w:sz w:val="20"/>
              </w:rPr>
            </w:pPr>
            <w:r>
              <w:rPr>
                <w:sz w:val="20"/>
              </w:rPr>
              <w:t>1.2.75 – Why seems it…suits of woe.</w:t>
            </w:r>
          </w:p>
          <w:p w:rsidR="00B25141" w:rsidRDefault="00B25141" w:rsidP="003E6B3A">
            <w:pPr>
              <w:jc w:val="both"/>
              <w:rPr>
                <w:sz w:val="20"/>
              </w:rPr>
            </w:pPr>
          </w:p>
          <w:p w:rsidR="00B25141" w:rsidRDefault="00222236" w:rsidP="003E6B3A">
            <w:pPr>
              <w:jc w:val="both"/>
              <w:rPr>
                <w:sz w:val="20"/>
              </w:rPr>
            </w:pPr>
            <w:r>
              <w:rPr>
                <w:sz w:val="20"/>
              </w:rPr>
              <w:t>1.</w:t>
            </w:r>
            <w:r w:rsidR="0039623B">
              <w:rPr>
                <w:sz w:val="20"/>
              </w:rPr>
              <w:t>2.129 – Oh, that this…of this world!</w:t>
            </w:r>
          </w:p>
          <w:p w:rsidR="00D60812" w:rsidRDefault="00D60812" w:rsidP="003E6B3A">
            <w:pPr>
              <w:jc w:val="both"/>
              <w:rPr>
                <w:sz w:val="20"/>
              </w:rPr>
            </w:pPr>
          </w:p>
          <w:p w:rsidR="00D60812" w:rsidRDefault="00D60812" w:rsidP="003E6B3A">
            <w:pPr>
              <w:jc w:val="both"/>
              <w:rPr>
                <w:sz w:val="20"/>
              </w:rPr>
            </w:pPr>
            <w:r>
              <w:rPr>
                <w:sz w:val="20"/>
              </w:rPr>
              <w:t>1.3.78 – This above all…to any man.</w:t>
            </w:r>
          </w:p>
          <w:p w:rsidR="00FE486D" w:rsidRDefault="00FE486D" w:rsidP="003E6B3A">
            <w:pPr>
              <w:jc w:val="both"/>
              <w:rPr>
                <w:sz w:val="20"/>
              </w:rPr>
            </w:pPr>
          </w:p>
          <w:p w:rsidR="00FE486D" w:rsidRDefault="00FE486D" w:rsidP="003E6B3A">
            <w:pPr>
              <w:jc w:val="both"/>
              <w:rPr>
                <w:sz w:val="20"/>
              </w:rPr>
            </w:pPr>
            <w:r>
              <w:rPr>
                <w:sz w:val="20"/>
              </w:rPr>
              <w:t>1.3.83 – Fear it, Ophelia…none else near.</w:t>
            </w:r>
          </w:p>
          <w:p w:rsidR="00D60812" w:rsidRDefault="00D60812" w:rsidP="003E6B3A">
            <w:pPr>
              <w:jc w:val="both"/>
              <w:rPr>
                <w:sz w:val="20"/>
              </w:rPr>
            </w:pPr>
          </w:p>
          <w:p w:rsidR="00222236" w:rsidRDefault="00B25141" w:rsidP="003E6B3A">
            <w:pPr>
              <w:jc w:val="both"/>
              <w:rPr>
                <w:sz w:val="20"/>
              </w:rPr>
            </w:pPr>
            <w:r>
              <w:rPr>
                <w:sz w:val="20"/>
              </w:rPr>
              <w:t>1.5.9 – I am thy…flesh and blood.</w:t>
            </w:r>
          </w:p>
          <w:p w:rsidR="00D60812" w:rsidRDefault="00D60812" w:rsidP="003E6B3A">
            <w:pPr>
              <w:jc w:val="both"/>
              <w:rPr>
                <w:sz w:val="20"/>
              </w:rPr>
            </w:pPr>
          </w:p>
          <w:p w:rsidR="00D60812" w:rsidRDefault="00D60812" w:rsidP="003E6B3A">
            <w:pPr>
              <w:jc w:val="both"/>
              <w:rPr>
                <w:sz w:val="20"/>
              </w:rPr>
            </w:pPr>
            <w:r>
              <w:rPr>
                <w:sz w:val="20"/>
              </w:rPr>
              <w:t>1.5.42 – Ay, that incestuous…prey on garbage.</w:t>
            </w:r>
            <w:r w:rsidR="00FE486D">
              <w:rPr>
                <w:sz w:val="20"/>
              </w:rPr>
              <w:t xml:space="preserve"> </w:t>
            </w:r>
          </w:p>
          <w:p w:rsidR="00FE486D" w:rsidRDefault="00FE486D" w:rsidP="003E6B3A">
            <w:pPr>
              <w:jc w:val="both"/>
              <w:rPr>
                <w:sz w:val="20"/>
              </w:rPr>
            </w:pPr>
          </w:p>
          <w:p w:rsidR="00FE486D" w:rsidRDefault="00FE486D" w:rsidP="003E6B3A">
            <w:pPr>
              <w:jc w:val="both"/>
              <w:rPr>
                <w:sz w:val="20"/>
              </w:rPr>
            </w:pPr>
            <w:r>
              <w:rPr>
                <w:sz w:val="20"/>
              </w:rPr>
              <w:t>1.5.80 – O, horrible</w:t>
            </w:r>
            <w:proofErr w:type="gramStart"/>
            <w:r>
              <w:rPr>
                <w:sz w:val="20"/>
              </w:rPr>
              <w:t>!...</w:t>
            </w:r>
            <w:proofErr w:type="gramEnd"/>
            <w:r>
              <w:rPr>
                <w:sz w:val="20"/>
              </w:rPr>
              <w:t>and sting her.</w:t>
            </w:r>
          </w:p>
          <w:p w:rsidR="00D60812" w:rsidRDefault="00D60812" w:rsidP="003E6B3A">
            <w:pPr>
              <w:jc w:val="both"/>
              <w:rPr>
                <w:sz w:val="20"/>
              </w:rPr>
            </w:pPr>
          </w:p>
          <w:p w:rsidR="00031020" w:rsidRDefault="00F46304" w:rsidP="003E6B3A">
            <w:pPr>
              <w:jc w:val="both"/>
              <w:rPr>
                <w:sz w:val="20"/>
              </w:rPr>
            </w:pPr>
            <w:r>
              <w:rPr>
                <w:sz w:val="20"/>
              </w:rPr>
              <w:t>1.5.</w:t>
            </w:r>
            <w:r w:rsidR="00B25141">
              <w:rPr>
                <w:sz w:val="20"/>
              </w:rPr>
              <w:t>170</w:t>
            </w:r>
            <w:r>
              <w:rPr>
                <w:sz w:val="20"/>
              </w:rPr>
              <w:t xml:space="preserve"> – How strange or…antic disposition on</w:t>
            </w:r>
          </w:p>
          <w:p w:rsidR="00343B1A" w:rsidRDefault="00343B1A" w:rsidP="003E6B3A">
            <w:pPr>
              <w:jc w:val="both"/>
              <w:rPr>
                <w:sz w:val="20"/>
              </w:rPr>
            </w:pPr>
          </w:p>
          <w:p w:rsidR="00343B1A" w:rsidRDefault="00F46304" w:rsidP="003E6B3A">
            <w:pPr>
              <w:jc w:val="both"/>
              <w:rPr>
                <w:sz w:val="20"/>
              </w:rPr>
            </w:pPr>
            <w:r>
              <w:rPr>
                <w:sz w:val="20"/>
              </w:rPr>
              <w:t>2.1.77 – My lord, as…light on me.</w:t>
            </w:r>
          </w:p>
          <w:p w:rsidR="00FE486D" w:rsidRDefault="00FE486D" w:rsidP="003E6B3A">
            <w:pPr>
              <w:jc w:val="both"/>
              <w:rPr>
                <w:sz w:val="20"/>
              </w:rPr>
            </w:pPr>
          </w:p>
          <w:p w:rsidR="00FE486D" w:rsidRDefault="00FE486D" w:rsidP="003E6B3A">
            <w:pPr>
              <w:jc w:val="both"/>
              <w:rPr>
                <w:sz w:val="20"/>
              </w:rPr>
            </w:pPr>
            <w:r>
              <w:rPr>
                <w:sz w:val="20"/>
              </w:rPr>
              <w:t xml:space="preserve">2.2.182 – For it the…look </w:t>
            </w:r>
            <w:proofErr w:type="gramStart"/>
            <w:r>
              <w:rPr>
                <w:sz w:val="20"/>
              </w:rPr>
              <w:t>to ‘t</w:t>
            </w:r>
            <w:proofErr w:type="gramEnd"/>
            <w:r>
              <w:rPr>
                <w:sz w:val="20"/>
              </w:rPr>
              <w:t>.</w:t>
            </w:r>
          </w:p>
          <w:p w:rsidR="006E5942" w:rsidRDefault="006E5942" w:rsidP="003E6B3A">
            <w:pPr>
              <w:jc w:val="both"/>
              <w:rPr>
                <w:sz w:val="20"/>
              </w:rPr>
            </w:pPr>
          </w:p>
          <w:p w:rsidR="00B25141" w:rsidRDefault="00621CBD" w:rsidP="003E6B3A">
            <w:pPr>
              <w:jc w:val="both"/>
              <w:rPr>
                <w:sz w:val="20"/>
              </w:rPr>
            </w:pPr>
            <w:r>
              <w:rPr>
                <w:sz w:val="20"/>
              </w:rPr>
              <w:t>2.2.188 – He knew me…very near this.</w:t>
            </w:r>
          </w:p>
          <w:p w:rsidR="00D60812" w:rsidRDefault="00D60812" w:rsidP="003E6B3A">
            <w:pPr>
              <w:jc w:val="both"/>
              <w:rPr>
                <w:sz w:val="20"/>
              </w:rPr>
            </w:pPr>
          </w:p>
          <w:p w:rsidR="00D60812" w:rsidRDefault="00D60812" w:rsidP="00B25141">
            <w:pPr>
              <w:jc w:val="both"/>
              <w:rPr>
                <w:sz w:val="20"/>
              </w:rPr>
            </w:pPr>
            <w:r>
              <w:rPr>
                <w:sz w:val="20"/>
              </w:rPr>
              <w:t>2.2.285 –</w:t>
            </w:r>
            <w:r w:rsidR="00C439CD">
              <w:rPr>
                <w:sz w:val="20"/>
              </w:rPr>
              <w:t xml:space="preserve"> Y</w:t>
            </w:r>
            <w:r>
              <w:rPr>
                <w:sz w:val="20"/>
              </w:rPr>
              <w:t>ou were sent…sent for you.</w:t>
            </w:r>
          </w:p>
        </w:tc>
        <w:tc>
          <w:tcPr>
            <w:tcW w:w="5508" w:type="dxa"/>
          </w:tcPr>
          <w:p w:rsidR="00C439CD" w:rsidRDefault="00E30449" w:rsidP="00C439CD">
            <w:pPr>
              <w:jc w:val="both"/>
              <w:rPr>
                <w:sz w:val="20"/>
              </w:rPr>
            </w:pPr>
            <w:r>
              <w:rPr>
                <w:sz w:val="20"/>
              </w:rPr>
              <w:softHyphen/>
            </w:r>
            <w:r>
              <w:rPr>
                <w:sz w:val="20"/>
              </w:rPr>
              <w:softHyphen/>
            </w:r>
            <w:r w:rsidR="00C439CD">
              <w:rPr>
                <w:sz w:val="20"/>
              </w:rPr>
              <w:t>3.1.56 – To be or…name of action.</w:t>
            </w:r>
          </w:p>
          <w:p w:rsidR="00C439CD" w:rsidRDefault="00C439CD" w:rsidP="00C439CD">
            <w:pPr>
              <w:jc w:val="both"/>
              <w:rPr>
                <w:sz w:val="20"/>
              </w:rPr>
            </w:pPr>
          </w:p>
          <w:p w:rsidR="00C439CD" w:rsidRDefault="00C439CD" w:rsidP="00C439CD">
            <w:pPr>
              <w:jc w:val="both"/>
              <w:rPr>
                <w:sz w:val="20"/>
              </w:rPr>
            </w:pPr>
            <w:r>
              <w:rPr>
                <w:sz w:val="20"/>
              </w:rPr>
              <w:t>3.1.48 – O, ‘tis too…O heavy burthen!</w:t>
            </w:r>
          </w:p>
          <w:p w:rsidR="00C439CD" w:rsidRDefault="00C439CD" w:rsidP="00C439CD">
            <w:pPr>
              <w:jc w:val="both"/>
              <w:rPr>
                <w:sz w:val="20"/>
              </w:rPr>
            </w:pPr>
          </w:p>
          <w:p w:rsidR="00C439CD" w:rsidRDefault="00C439CD" w:rsidP="00C439CD">
            <w:pPr>
              <w:jc w:val="both"/>
              <w:rPr>
                <w:sz w:val="20"/>
              </w:rPr>
            </w:pPr>
            <w:r>
              <w:rPr>
                <w:sz w:val="20"/>
              </w:rPr>
              <w:t>3.1.121 – Get thee to…to a nunnery.</w:t>
            </w:r>
          </w:p>
          <w:p w:rsidR="00C439CD" w:rsidRDefault="00C439CD" w:rsidP="00C439CD">
            <w:pPr>
              <w:jc w:val="both"/>
              <w:rPr>
                <w:sz w:val="20"/>
              </w:rPr>
            </w:pPr>
          </w:p>
          <w:p w:rsidR="00C439CD" w:rsidRDefault="00C439CD" w:rsidP="00C439CD">
            <w:pPr>
              <w:jc w:val="both"/>
              <w:rPr>
                <w:sz w:val="20"/>
              </w:rPr>
            </w:pPr>
            <w:r>
              <w:rPr>
                <w:sz w:val="20"/>
              </w:rPr>
              <w:t>3.4.117 – How is it</w:t>
            </w:r>
            <w:proofErr w:type="gramStart"/>
            <w:r>
              <w:rPr>
                <w:sz w:val="20"/>
              </w:rPr>
              <w:t>..do</w:t>
            </w:r>
            <w:proofErr w:type="gramEnd"/>
            <w:r>
              <w:rPr>
                <w:sz w:val="20"/>
              </w:rPr>
              <w:t xml:space="preserve"> you look?</w:t>
            </w:r>
          </w:p>
          <w:p w:rsidR="00C439CD" w:rsidRDefault="00C439CD" w:rsidP="00C439CD">
            <w:pPr>
              <w:jc w:val="both"/>
              <w:rPr>
                <w:sz w:val="20"/>
              </w:rPr>
            </w:pPr>
          </w:p>
          <w:p w:rsidR="00C439CD" w:rsidRDefault="00C439CD" w:rsidP="00C439CD">
            <w:pPr>
              <w:jc w:val="both"/>
              <w:rPr>
                <w:sz w:val="20"/>
              </w:rPr>
            </w:pPr>
            <w:r>
              <w:rPr>
                <w:sz w:val="20"/>
              </w:rPr>
              <w:t>4.1.6 – What, Gertrude</w:t>
            </w:r>
            <w:proofErr w:type="gramStart"/>
            <w:r>
              <w:rPr>
                <w:sz w:val="20"/>
              </w:rPr>
              <w:t>?...</w:t>
            </w:r>
            <w:proofErr w:type="gramEnd"/>
            <w:r>
              <w:rPr>
                <w:sz w:val="20"/>
              </w:rPr>
              <w:t>good old man.</w:t>
            </w:r>
          </w:p>
          <w:p w:rsidR="00C439CD" w:rsidRDefault="00C439CD" w:rsidP="00C439CD">
            <w:pPr>
              <w:jc w:val="both"/>
              <w:rPr>
                <w:sz w:val="20"/>
              </w:rPr>
            </w:pPr>
          </w:p>
          <w:p w:rsidR="00C439CD" w:rsidRDefault="00C439CD" w:rsidP="00C439CD">
            <w:pPr>
              <w:jc w:val="both"/>
              <w:rPr>
                <w:sz w:val="20"/>
              </w:rPr>
            </w:pPr>
            <w:r>
              <w:rPr>
                <w:sz w:val="20"/>
              </w:rPr>
              <w:t>4.3.16 – Now, Hamlet, where’s…into the lobby.</w:t>
            </w:r>
          </w:p>
          <w:p w:rsidR="00C439CD" w:rsidRDefault="00C439CD" w:rsidP="00C439CD">
            <w:pPr>
              <w:jc w:val="both"/>
              <w:rPr>
                <w:sz w:val="20"/>
              </w:rPr>
            </w:pPr>
          </w:p>
          <w:p w:rsidR="00C439CD" w:rsidRDefault="00C439CD" w:rsidP="00C439CD">
            <w:pPr>
              <w:jc w:val="both"/>
              <w:rPr>
                <w:sz w:val="20"/>
              </w:rPr>
            </w:pPr>
            <w:r>
              <w:rPr>
                <w:sz w:val="20"/>
              </w:rPr>
              <w:t xml:space="preserve">4.5.82 – </w:t>
            </w:r>
            <w:bookmarkStart w:id="0" w:name="_GoBack"/>
            <w:bookmarkEnd w:id="0"/>
            <w:r>
              <w:rPr>
                <w:sz w:val="20"/>
              </w:rPr>
              <w:t>…poor Ophelia…or mere beasts.</w:t>
            </w:r>
          </w:p>
          <w:p w:rsidR="00C439CD" w:rsidRDefault="00C439CD" w:rsidP="00C439CD">
            <w:pPr>
              <w:jc w:val="both"/>
              <w:rPr>
                <w:sz w:val="20"/>
              </w:rPr>
            </w:pPr>
          </w:p>
          <w:p w:rsidR="00C439CD" w:rsidRDefault="00C439CD" w:rsidP="00C439CD">
            <w:pPr>
              <w:jc w:val="both"/>
              <w:rPr>
                <w:sz w:val="20"/>
              </w:rPr>
            </w:pPr>
            <w:r>
              <w:rPr>
                <w:sz w:val="20"/>
              </w:rPr>
              <w:t>4.7.166 – There is a…to muddy death.</w:t>
            </w:r>
          </w:p>
          <w:p w:rsidR="00C439CD" w:rsidRDefault="00C439CD" w:rsidP="00C439CD">
            <w:pPr>
              <w:jc w:val="both"/>
              <w:rPr>
                <w:sz w:val="20"/>
              </w:rPr>
            </w:pPr>
          </w:p>
          <w:p w:rsidR="00C439CD" w:rsidRDefault="00C439CD" w:rsidP="00C439CD">
            <w:pPr>
              <w:jc w:val="both"/>
              <w:rPr>
                <w:sz w:val="20"/>
              </w:rPr>
            </w:pPr>
            <w:r>
              <w:rPr>
                <w:sz w:val="20"/>
              </w:rPr>
              <w:t>5.1.1 – Is she to…o’ Christian burial.</w:t>
            </w:r>
          </w:p>
          <w:p w:rsidR="00C439CD" w:rsidRDefault="00C439CD" w:rsidP="00C439CD">
            <w:pPr>
              <w:jc w:val="both"/>
              <w:rPr>
                <w:sz w:val="20"/>
              </w:rPr>
            </w:pPr>
          </w:p>
          <w:p w:rsidR="00C439CD" w:rsidRDefault="00C439CD" w:rsidP="00C439CD">
            <w:pPr>
              <w:jc w:val="both"/>
              <w:rPr>
                <w:sz w:val="20"/>
              </w:rPr>
            </w:pPr>
            <w:r>
              <w:rPr>
                <w:sz w:val="20"/>
              </w:rPr>
              <w:t>5.1.76 – That skull had…more, my lord.</w:t>
            </w:r>
          </w:p>
          <w:p w:rsidR="00C439CD" w:rsidRDefault="00C439CD" w:rsidP="00C439CD">
            <w:pPr>
              <w:jc w:val="both"/>
              <w:rPr>
                <w:sz w:val="20"/>
              </w:rPr>
            </w:pPr>
          </w:p>
          <w:p w:rsidR="002572B7" w:rsidRDefault="00C439CD" w:rsidP="00C439CD">
            <w:pPr>
              <w:jc w:val="both"/>
              <w:rPr>
                <w:sz w:val="20"/>
              </w:rPr>
            </w:pPr>
            <w:r>
              <w:rPr>
                <w:sz w:val="20"/>
              </w:rPr>
              <w:t>5.2.38 – An earnest conjuration…own insinuation grow.</w:t>
            </w: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E30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1043"/>
    <w:rsid w:val="00001043"/>
    <w:rsid w:val="00004FEE"/>
    <w:rsid w:val="00031020"/>
    <w:rsid w:val="00045116"/>
    <w:rsid w:val="000757AB"/>
    <w:rsid w:val="000A17FE"/>
    <w:rsid w:val="000C4038"/>
    <w:rsid w:val="000D55EF"/>
    <w:rsid w:val="00191F9D"/>
    <w:rsid w:val="00193CDC"/>
    <w:rsid w:val="00222236"/>
    <w:rsid w:val="002572B7"/>
    <w:rsid w:val="002B4B66"/>
    <w:rsid w:val="00302B6B"/>
    <w:rsid w:val="003208A2"/>
    <w:rsid w:val="003256F6"/>
    <w:rsid w:val="0034227D"/>
    <w:rsid w:val="00343767"/>
    <w:rsid w:val="00343B1A"/>
    <w:rsid w:val="0039623B"/>
    <w:rsid w:val="00397D1A"/>
    <w:rsid w:val="003E6B3A"/>
    <w:rsid w:val="004275A5"/>
    <w:rsid w:val="004E4F4E"/>
    <w:rsid w:val="005A2D83"/>
    <w:rsid w:val="005B4CC0"/>
    <w:rsid w:val="00621CBD"/>
    <w:rsid w:val="00683091"/>
    <w:rsid w:val="006E5942"/>
    <w:rsid w:val="007123C5"/>
    <w:rsid w:val="007A22E1"/>
    <w:rsid w:val="0080594A"/>
    <w:rsid w:val="008428EF"/>
    <w:rsid w:val="008B515F"/>
    <w:rsid w:val="008D1C1C"/>
    <w:rsid w:val="00967F77"/>
    <w:rsid w:val="0099420D"/>
    <w:rsid w:val="00A74943"/>
    <w:rsid w:val="00B25141"/>
    <w:rsid w:val="00BA6F0C"/>
    <w:rsid w:val="00C05656"/>
    <w:rsid w:val="00C25EAA"/>
    <w:rsid w:val="00C439CD"/>
    <w:rsid w:val="00CC55A6"/>
    <w:rsid w:val="00CE017B"/>
    <w:rsid w:val="00D60812"/>
    <w:rsid w:val="00D87A5E"/>
    <w:rsid w:val="00DF2DB9"/>
    <w:rsid w:val="00E30449"/>
    <w:rsid w:val="00E54B7D"/>
    <w:rsid w:val="00E6788B"/>
    <w:rsid w:val="00F46304"/>
    <w:rsid w:val="00F67CEB"/>
    <w:rsid w:val="00FE48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2012-11-27T17:52:00Z</cp:lastPrinted>
  <dcterms:created xsi:type="dcterms:W3CDTF">2012-11-26T18:29:00Z</dcterms:created>
  <dcterms:modified xsi:type="dcterms:W3CDTF">2012-11-27T17:57:00Z</dcterms:modified>
</cp:coreProperties>
</file>